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3774" w:rsidRDefault="00D53774" w:rsidP="00D53774">
      <w:pPr>
        <w:spacing w:before="100" w:beforeAutospacing="1" w:after="100" w:afterAutospacing="1" w:line="240" w:lineRule="auto"/>
        <w:outlineLvl w:val="0"/>
        <w:rPr>
          <w:rFonts w:ascii="Times New Roman" w:eastAsia="Times New Roman" w:hAnsi="Times New Roman" w:cs="Times New Roman"/>
          <w:b/>
          <w:bCs/>
          <w:kern w:val="36"/>
          <w14:ligatures w14:val="none"/>
        </w:rPr>
      </w:pPr>
    </w:p>
    <w:p w:rsidR="00D53774" w:rsidRDefault="00D53774" w:rsidP="00D53774">
      <w:pPr>
        <w:spacing w:before="100" w:beforeAutospacing="1" w:after="100" w:afterAutospacing="1" w:line="240" w:lineRule="auto"/>
        <w:outlineLvl w:val="0"/>
        <w:rPr>
          <w:rFonts w:ascii="Times New Roman" w:eastAsia="Times New Roman" w:hAnsi="Times New Roman" w:cs="Times New Roman"/>
          <w:b/>
          <w:bCs/>
          <w:kern w:val="36"/>
          <w14:ligatures w14:val="none"/>
        </w:rPr>
      </w:pPr>
    </w:p>
    <w:p w:rsidR="00D53774" w:rsidRDefault="00D53774" w:rsidP="00D53774">
      <w:pPr>
        <w:spacing w:before="100" w:beforeAutospacing="1" w:after="100" w:afterAutospacing="1" w:line="240" w:lineRule="auto"/>
        <w:outlineLvl w:val="0"/>
        <w:rPr>
          <w:rFonts w:ascii="Times New Roman" w:eastAsia="Times New Roman" w:hAnsi="Times New Roman" w:cs="Times New Roman"/>
          <w:b/>
          <w:bCs/>
          <w:kern w:val="36"/>
          <w14:ligatures w14:val="none"/>
        </w:rPr>
      </w:pPr>
    </w:p>
    <w:p w:rsidR="00D53774" w:rsidRDefault="00D53774" w:rsidP="00D53774">
      <w:pPr>
        <w:spacing w:before="100" w:beforeAutospacing="1" w:after="100" w:afterAutospacing="1" w:line="240" w:lineRule="auto"/>
        <w:outlineLvl w:val="0"/>
        <w:rPr>
          <w:rFonts w:ascii="Times New Roman" w:eastAsia="Times New Roman" w:hAnsi="Times New Roman" w:cs="Times New Roman"/>
          <w:b/>
          <w:bCs/>
          <w:kern w:val="36"/>
          <w14:ligatures w14:val="none"/>
        </w:rPr>
      </w:pPr>
    </w:p>
    <w:p w:rsidR="00D53774" w:rsidRDefault="00D53774" w:rsidP="00D53774">
      <w:pPr>
        <w:spacing w:before="100" w:beforeAutospacing="1" w:after="100" w:afterAutospacing="1" w:line="240" w:lineRule="auto"/>
        <w:outlineLvl w:val="0"/>
        <w:rPr>
          <w:rFonts w:ascii="Times New Roman" w:eastAsia="Times New Roman" w:hAnsi="Times New Roman" w:cs="Times New Roman"/>
          <w:b/>
          <w:bCs/>
          <w:kern w:val="36"/>
          <w14:ligatures w14:val="none"/>
        </w:rPr>
      </w:pPr>
    </w:p>
    <w:p w:rsidR="00D53774" w:rsidRPr="00B16BA5" w:rsidRDefault="00B16BA5" w:rsidP="00B16BA5">
      <w:pPr>
        <w:spacing w:before="100" w:beforeAutospacing="1" w:after="100" w:afterAutospacing="1" w:line="240" w:lineRule="auto"/>
        <w:jc w:val="center"/>
        <w:outlineLvl w:val="0"/>
        <w:rPr>
          <w:rFonts w:ascii="Times New Roman" w:eastAsia="Times New Roman" w:hAnsi="Times New Roman" w:cs="Times New Roman"/>
          <w:b/>
          <w:bCs/>
          <w:kern w:val="36"/>
          <w:sz w:val="40"/>
          <w14:ligatures w14:val="none"/>
        </w:rPr>
      </w:pPr>
      <w:r w:rsidRPr="00B16BA5">
        <w:rPr>
          <w:b/>
          <w:sz w:val="40"/>
        </w:rPr>
        <w:t>TEOLOGI DAN PRAKTIKA IBADAH PENTAKOSTAL-KHARISMATIK: MENYEIMBANGKAN SPONTANITAS, LITURGI, DAN ETIKA DIGITAL</w:t>
      </w:r>
    </w:p>
    <w:p w:rsidR="00D53774" w:rsidRDefault="00D53774" w:rsidP="00D53774">
      <w:pPr>
        <w:spacing w:before="100" w:beforeAutospacing="1" w:after="100" w:afterAutospacing="1" w:line="240" w:lineRule="auto"/>
        <w:jc w:val="center"/>
        <w:outlineLvl w:val="0"/>
        <w:rPr>
          <w:rFonts w:ascii="Times New Roman" w:eastAsia="Times New Roman" w:hAnsi="Times New Roman" w:cs="Times New Roman"/>
          <w:b/>
          <w:bCs/>
          <w:kern w:val="36"/>
          <w14:ligatures w14:val="none"/>
        </w:rPr>
      </w:pPr>
      <w:r>
        <w:rPr>
          <w:rFonts w:ascii="Times New Roman" w:eastAsia="Times New Roman" w:hAnsi="Times New Roman" w:cs="Times New Roman"/>
          <w:b/>
          <w:bCs/>
          <w:kern w:val="36"/>
          <w14:ligatures w14:val="none"/>
        </w:rPr>
        <w:t>Penulis:</w:t>
      </w:r>
    </w:p>
    <w:p w:rsidR="00DE0790" w:rsidRPr="00E96E70" w:rsidRDefault="00DE0790" w:rsidP="00E96E70">
      <w:pPr>
        <w:jc w:val="center"/>
      </w:pPr>
      <w:bookmarkStart w:id="0" w:name="_GoBack"/>
      <w:r w:rsidRPr="00E96E70">
        <w:t>Dr Tan Markus Setiadi Wahyu</w:t>
      </w:r>
    </w:p>
    <w:bookmarkEnd w:id="0"/>
    <w:p w:rsidR="00C67EDD" w:rsidRDefault="00D53774" w:rsidP="00C67EDD">
      <w:pPr>
        <w:jc w:val="center"/>
      </w:pPr>
      <w:r w:rsidRPr="00C67EDD">
        <w:t>Debora</w:t>
      </w:r>
      <w:r w:rsidR="00C67EDD" w:rsidRPr="00C67EDD">
        <w:t xml:space="preserve"> </w:t>
      </w:r>
    </w:p>
    <w:p w:rsidR="00C67EDD" w:rsidRDefault="00C67EDD" w:rsidP="00C67EDD">
      <w:pPr>
        <w:jc w:val="center"/>
      </w:pPr>
      <w:r w:rsidRPr="00C67EDD">
        <w:t xml:space="preserve">Yoela Ayunda Kristi Bintang </w:t>
      </w:r>
    </w:p>
    <w:p w:rsidR="00C67EDD" w:rsidRDefault="00C67EDD" w:rsidP="00C67EDD">
      <w:pPr>
        <w:jc w:val="center"/>
      </w:pPr>
      <w:r w:rsidRPr="00C67EDD">
        <w:t xml:space="preserve">Semi Enos Banamtuan </w:t>
      </w:r>
    </w:p>
    <w:p w:rsidR="00C67EDD" w:rsidRDefault="00C67EDD" w:rsidP="00C67EDD">
      <w:pPr>
        <w:jc w:val="center"/>
      </w:pPr>
      <w:r w:rsidRPr="00C67EDD">
        <w:t xml:space="preserve">Alex Andreas Hutabarat </w:t>
      </w:r>
    </w:p>
    <w:p w:rsidR="00C67EDD" w:rsidRPr="00C67EDD" w:rsidRDefault="00C67EDD" w:rsidP="00C67EDD">
      <w:pPr>
        <w:jc w:val="center"/>
      </w:pPr>
      <w:r w:rsidRPr="00C67EDD">
        <w:t>Yustina Erni</w:t>
      </w:r>
    </w:p>
    <w:p w:rsidR="00DE0790" w:rsidRDefault="00DE0790" w:rsidP="00DE0790">
      <w:pPr>
        <w:spacing w:before="100" w:beforeAutospacing="1" w:after="100" w:afterAutospacing="1" w:line="240" w:lineRule="auto"/>
        <w:jc w:val="center"/>
        <w:outlineLvl w:val="0"/>
        <w:rPr>
          <w:rFonts w:ascii="Times New Roman" w:eastAsia="Times New Roman" w:hAnsi="Times New Roman" w:cs="Times New Roman"/>
          <w:bCs/>
          <w:kern w:val="36"/>
          <w14:ligatures w14:val="none"/>
        </w:rPr>
      </w:pPr>
    </w:p>
    <w:p w:rsidR="00DE0790" w:rsidRDefault="00DE0790" w:rsidP="00DE0790">
      <w:pPr>
        <w:spacing w:before="100" w:beforeAutospacing="1" w:after="100" w:afterAutospacing="1" w:line="240" w:lineRule="auto"/>
        <w:jc w:val="center"/>
        <w:outlineLvl w:val="0"/>
        <w:rPr>
          <w:rFonts w:ascii="Times New Roman" w:eastAsia="Times New Roman" w:hAnsi="Times New Roman" w:cs="Times New Roman"/>
          <w:bCs/>
          <w:kern w:val="36"/>
          <w14:ligatures w14:val="none"/>
        </w:rPr>
      </w:pPr>
      <w:r>
        <w:rPr>
          <w:rFonts w:ascii="Times New Roman" w:eastAsia="Times New Roman" w:hAnsi="Times New Roman" w:cs="Times New Roman"/>
          <w:bCs/>
          <w:kern w:val="36"/>
          <w14:ligatures w14:val="none"/>
        </w:rPr>
        <w:t>Editor</w:t>
      </w:r>
    </w:p>
    <w:p w:rsidR="00DE0790" w:rsidRPr="00C67EDD" w:rsidRDefault="00DE0790" w:rsidP="00DE0790">
      <w:pPr>
        <w:spacing w:before="100" w:beforeAutospacing="1" w:after="100" w:afterAutospacing="1" w:line="240" w:lineRule="auto"/>
        <w:jc w:val="center"/>
        <w:outlineLvl w:val="0"/>
        <w:rPr>
          <w:rFonts w:ascii="Times New Roman" w:eastAsia="Times New Roman" w:hAnsi="Times New Roman" w:cs="Times New Roman"/>
          <w:bCs/>
          <w:kern w:val="36"/>
          <w14:ligatures w14:val="none"/>
        </w:rPr>
      </w:pPr>
      <w:r w:rsidRPr="00C67EDD">
        <w:rPr>
          <w:rFonts w:ascii="Times New Roman" w:eastAsia="Times New Roman" w:hAnsi="Times New Roman" w:cs="Times New Roman"/>
          <w:bCs/>
          <w:kern w:val="36"/>
          <w14:ligatures w14:val="none"/>
        </w:rPr>
        <w:t>Dr Ribut Agung Sutrisno,M.Th</w:t>
      </w:r>
    </w:p>
    <w:p w:rsidR="00C67EDD" w:rsidRPr="00C67EDD" w:rsidRDefault="00C67EDD" w:rsidP="00C67EDD">
      <w:pPr>
        <w:jc w:val="center"/>
      </w:pPr>
    </w:p>
    <w:p w:rsidR="00C67EDD" w:rsidRPr="00C67EDD" w:rsidRDefault="00C67EDD" w:rsidP="00C67EDD">
      <w:pPr>
        <w:jc w:val="center"/>
      </w:pPr>
    </w:p>
    <w:p w:rsidR="00D53774" w:rsidRPr="00C67EDD" w:rsidRDefault="00D53774" w:rsidP="00C67EDD">
      <w:pPr>
        <w:jc w:val="center"/>
      </w:pPr>
    </w:p>
    <w:p w:rsidR="00D53774" w:rsidRDefault="00D53774" w:rsidP="00D53774">
      <w:pPr>
        <w:spacing w:before="100" w:beforeAutospacing="1" w:after="100" w:afterAutospacing="1" w:line="240" w:lineRule="auto"/>
        <w:jc w:val="center"/>
        <w:outlineLvl w:val="0"/>
        <w:rPr>
          <w:rFonts w:ascii="Times New Roman" w:eastAsia="Times New Roman" w:hAnsi="Times New Roman" w:cs="Times New Roman"/>
          <w:b/>
          <w:bCs/>
          <w:kern w:val="36"/>
          <w14:ligatures w14:val="none"/>
        </w:rPr>
      </w:pPr>
    </w:p>
    <w:p w:rsidR="00D53774" w:rsidRDefault="00D53774" w:rsidP="00D53774">
      <w:pPr>
        <w:spacing w:before="100" w:beforeAutospacing="1" w:after="100" w:afterAutospacing="1" w:line="240" w:lineRule="auto"/>
        <w:outlineLvl w:val="0"/>
        <w:rPr>
          <w:rFonts w:ascii="Times New Roman" w:eastAsia="Times New Roman" w:hAnsi="Times New Roman" w:cs="Times New Roman"/>
          <w:b/>
          <w:bCs/>
          <w:kern w:val="36"/>
          <w14:ligatures w14:val="none"/>
        </w:rPr>
      </w:pPr>
    </w:p>
    <w:p w:rsidR="00D53774" w:rsidRDefault="00D53774" w:rsidP="00D53774">
      <w:pPr>
        <w:spacing w:before="100" w:beforeAutospacing="1" w:after="100" w:afterAutospacing="1" w:line="240" w:lineRule="auto"/>
        <w:outlineLvl w:val="0"/>
        <w:rPr>
          <w:rFonts w:ascii="Times New Roman" w:eastAsia="Times New Roman" w:hAnsi="Times New Roman" w:cs="Times New Roman"/>
          <w:b/>
          <w:bCs/>
          <w:kern w:val="36"/>
          <w14:ligatures w14:val="none"/>
        </w:rPr>
      </w:pPr>
    </w:p>
    <w:p w:rsidR="00D53774" w:rsidRDefault="00D53774" w:rsidP="00D53774">
      <w:pPr>
        <w:spacing w:before="100" w:beforeAutospacing="1" w:after="100" w:afterAutospacing="1" w:line="240" w:lineRule="auto"/>
        <w:outlineLvl w:val="0"/>
        <w:rPr>
          <w:rFonts w:ascii="Times New Roman" w:eastAsia="Times New Roman" w:hAnsi="Times New Roman" w:cs="Times New Roman"/>
          <w:b/>
          <w:bCs/>
          <w:kern w:val="36"/>
          <w14:ligatures w14:val="none"/>
        </w:rPr>
      </w:pPr>
    </w:p>
    <w:p w:rsidR="00D53774" w:rsidRDefault="00D53774" w:rsidP="00D53774">
      <w:pPr>
        <w:spacing w:before="100" w:beforeAutospacing="1" w:after="100" w:afterAutospacing="1" w:line="240" w:lineRule="auto"/>
        <w:outlineLvl w:val="0"/>
        <w:rPr>
          <w:rFonts w:ascii="Times New Roman" w:eastAsia="Times New Roman" w:hAnsi="Times New Roman" w:cs="Times New Roman"/>
          <w:b/>
          <w:bCs/>
          <w:kern w:val="36"/>
          <w14:ligatures w14:val="none"/>
        </w:rPr>
      </w:pPr>
    </w:p>
    <w:p w:rsidR="00D53774" w:rsidRDefault="00D53774" w:rsidP="00D53774">
      <w:pPr>
        <w:spacing w:before="100" w:beforeAutospacing="1" w:after="100" w:afterAutospacing="1" w:line="240" w:lineRule="auto"/>
        <w:outlineLvl w:val="0"/>
        <w:rPr>
          <w:rFonts w:ascii="Times New Roman" w:eastAsia="Times New Roman" w:hAnsi="Times New Roman" w:cs="Times New Roman"/>
          <w:b/>
          <w:bCs/>
          <w:kern w:val="36"/>
          <w14:ligatures w14:val="none"/>
        </w:rPr>
      </w:pPr>
    </w:p>
    <w:p w:rsidR="00B16BA5" w:rsidRDefault="00B16BA5" w:rsidP="00D53774">
      <w:pPr>
        <w:spacing w:before="100" w:beforeAutospacing="1" w:after="100" w:afterAutospacing="1" w:line="240" w:lineRule="auto"/>
        <w:outlineLvl w:val="0"/>
        <w:rPr>
          <w:rFonts w:ascii="Arial" w:hAnsi="Arial" w:cs="Arial"/>
        </w:rPr>
      </w:pPr>
      <w:r>
        <w:t xml:space="preserve">BAB I LANDASAN TEOLOGI DAN PEMBENTUKAN SPIRITUAL IBADAH </w:t>
      </w:r>
    </w:p>
    <w:p w:rsidR="00B16BA5" w:rsidRDefault="00B16BA5" w:rsidP="00D53774">
      <w:pPr>
        <w:spacing w:before="100" w:beforeAutospacing="1" w:after="100" w:afterAutospacing="1" w:line="240" w:lineRule="auto"/>
        <w:outlineLvl w:val="0"/>
      </w:pPr>
      <w:r>
        <w:t>1.1 Hakikat dan Tujuan Ibadah (Dialogis &amp; Kristosentris)</w:t>
      </w:r>
    </w:p>
    <w:p w:rsidR="00B16BA5" w:rsidRDefault="00B16BA5" w:rsidP="00D53774">
      <w:pPr>
        <w:spacing w:before="100" w:beforeAutospacing="1" w:after="100" w:afterAutospacing="1" w:line="240" w:lineRule="auto"/>
        <w:outlineLvl w:val="0"/>
      </w:pPr>
      <w:r>
        <w:t>1.2 Liturgi dan Pembentukan Kerohanian (Lex Orandi, Lex Credendi, Lex Vivendi) └</w:t>
      </w:r>
    </w:p>
    <w:p w:rsidR="00B16BA5" w:rsidRDefault="00B16BA5" w:rsidP="00D53774">
      <w:pPr>
        <w:spacing w:before="100" w:beforeAutospacing="1" w:after="100" w:afterAutospacing="1" w:line="240" w:lineRule="auto"/>
        <w:outlineLvl w:val="0"/>
      </w:pPr>
      <w:r>
        <w:t xml:space="preserve">1.3 Karakter dan Integritas Pelayan Ibadah </w:t>
      </w:r>
    </w:p>
    <w:p w:rsidR="00B16BA5" w:rsidRDefault="00B16BA5" w:rsidP="00D53774">
      <w:pPr>
        <w:spacing w:before="100" w:beforeAutospacing="1" w:after="100" w:afterAutospacing="1" w:line="240" w:lineRule="auto"/>
        <w:outlineLvl w:val="0"/>
      </w:pPr>
      <w:r>
        <w:t>BAB II STRUKTUR LITURGI DAN PERENCANAAN IBADAH PENTAKOSTAL-KHARISMATIK</w:t>
      </w:r>
    </w:p>
    <w:p w:rsidR="00B16BA5" w:rsidRDefault="00B16BA5" w:rsidP="00D53774">
      <w:pPr>
        <w:spacing w:before="100" w:beforeAutospacing="1" w:after="100" w:afterAutospacing="1" w:line="240" w:lineRule="auto"/>
        <w:outlineLvl w:val="0"/>
        <w:rPr>
          <w:rFonts w:ascii="Arial" w:hAnsi="Arial" w:cs="Arial"/>
        </w:rPr>
      </w:pPr>
      <w:r>
        <w:t xml:space="preserve">2.1 Teologi Liturgi &amp; Dinamika Roh Kudus (Kebebasan vs Keteraturan) </w:t>
      </w:r>
    </w:p>
    <w:p w:rsidR="00B16BA5" w:rsidRDefault="00B16BA5" w:rsidP="00D53774">
      <w:pPr>
        <w:spacing w:before="100" w:beforeAutospacing="1" w:after="100" w:afterAutospacing="1" w:line="240" w:lineRule="auto"/>
        <w:outlineLvl w:val="0"/>
      </w:pPr>
      <w:r>
        <w:t>2.2 Sejarah &amp; Analisis Komparatif Tradisi Liturgi Gereja</w:t>
      </w:r>
    </w:p>
    <w:p w:rsidR="00B16BA5" w:rsidRDefault="00B16BA5" w:rsidP="00D53774">
      <w:pPr>
        <w:spacing w:before="100" w:beforeAutospacing="1" w:after="100" w:afterAutospacing="1" w:line="240" w:lineRule="auto"/>
        <w:outlineLvl w:val="0"/>
      </w:pPr>
      <w:r>
        <w:t xml:space="preserve"> 2.3 Unsur-Unsur Utama Tata Ibadah Pentakostal-Kharismatik </w:t>
      </w:r>
    </w:p>
    <w:p w:rsidR="00B16BA5" w:rsidRDefault="00B16BA5" w:rsidP="00D53774">
      <w:pPr>
        <w:spacing w:before="100" w:beforeAutospacing="1" w:after="100" w:afterAutospacing="1" w:line="240" w:lineRule="auto"/>
        <w:outlineLvl w:val="0"/>
      </w:pPr>
      <w:r>
        <w:t xml:space="preserve">2.4 Kontekstualisasi &amp; Manajemen Perencanaan Peribadatan </w:t>
      </w:r>
    </w:p>
    <w:p w:rsidR="00B16BA5" w:rsidRDefault="00B16BA5" w:rsidP="00D53774">
      <w:pPr>
        <w:spacing w:before="100" w:beforeAutospacing="1" w:after="100" w:afterAutospacing="1" w:line="240" w:lineRule="auto"/>
        <w:outlineLvl w:val="0"/>
        <w:rPr>
          <w:rFonts w:ascii="Arial" w:hAnsi="Arial" w:cs="Arial"/>
        </w:rPr>
      </w:pPr>
      <w:r>
        <w:t xml:space="preserve">BAB III DINAMIKA MUSIK DAN PELAYANAN TIM PUJIAN PENYEMBAHAN </w:t>
      </w:r>
    </w:p>
    <w:p w:rsidR="00B16BA5" w:rsidRDefault="00B16BA5" w:rsidP="00D53774">
      <w:pPr>
        <w:spacing w:before="100" w:beforeAutospacing="1" w:after="100" w:afterAutospacing="1" w:line="240" w:lineRule="auto"/>
        <w:outlineLvl w:val="0"/>
        <w:rPr>
          <w:rFonts w:ascii="Arial" w:hAnsi="Arial" w:cs="Arial"/>
        </w:rPr>
      </w:pPr>
      <w:r>
        <w:t xml:space="preserve"> 3.1 Teologi Musik dan Penyembahan Berpusat pada Allah </w:t>
      </w:r>
    </w:p>
    <w:p w:rsidR="00B16BA5" w:rsidRDefault="00B16BA5" w:rsidP="00D53774">
      <w:pPr>
        <w:spacing w:before="100" w:beforeAutospacing="1" w:after="100" w:afterAutospacing="1" w:line="240" w:lineRule="auto"/>
        <w:outlineLvl w:val="0"/>
        <w:rPr>
          <w:rFonts w:ascii="Arial" w:hAnsi="Arial" w:cs="Arial"/>
        </w:rPr>
      </w:pPr>
      <w:r>
        <w:t xml:space="preserve">3.2 Dinamika Musikal Kontemporer &amp; Kontekstualisasi Alat Musik Lokal </w:t>
      </w:r>
    </w:p>
    <w:p w:rsidR="00B16BA5" w:rsidRDefault="00B16BA5" w:rsidP="00D53774">
      <w:pPr>
        <w:spacing w:before="100" w:beforeAutospacing="1" w:after="100" w:afterAutospacing="1" w:line="240" w:lineRule="auto"/>
        <w:outlineLvl w:val="0"/>
      </w:pPr>
      <w:r>
        <w:t xml:space="preserve">3.3 Komunikasi, Relasi, dan Budaya Tim Pujian-Penyembahan </w:t>
      </w:r>
    </w:p>
    <w:p w:rsidR="00B16BA5" w:rsidRDefault="00B16BA5" w:rsidP="00D53774">
      <w:pPr>
        <w:spacing w:before="100" w:beforeAutospacing="1" w:after="100" w:afterAutospacing="1" w:line="240" w:lineRule="auto"/>
        <w:outlineLvl w:val="0"/>
      </w:pPr>
      <w:r>
        <w:t xml:space="preserve">3.4 Tantangan Industri Musik vs Esensi Penyembahan </w:t>
      </w:r>
    </w:p>
    <w:p w:rsidR="00B16BA5" w:rsidRDefault="00B16BA5" w:rsidP="00D53774">
      <w:pPr>
        <w:spacing w:before="100" w:beforeAutospacing="1" w:after="100" w:afterAutospacing="1" w:line="240" w:lineRule="auto"/>
        <w:outlineLvl w:val="0"/>
      </w:pPr>
      <w:r>
        <w:t>BAB IV</w:t>
      </w:r>
    </w:p>
    <w:p w:rsidR="00B16BA5" w:rsidRDefault="00B16BA5" w:rsidP="00D53774">
      <w:pPr>
        <w:spacing w:before="100" w:beforeAutospacing="1" w:after="100" w:afterAutospacing="1" w:line="240" w:lineRule="auto"/>
        <w:outlineLvl w:val="0"/>
        <w:rPr>
          <w:rFonts w:ascii="Arial" w:hAnsi="Arial" w:cs="Arial"/>
        </w:rPr>
      </w:pPr>
      <w:r>
        <w:t xml:space="preserve"> TATA RUANG, ARSITEKTUR, DAN PERALATAN PENUNJANG IBADAH </w:t>
      </w:r>
    </w:p>
    <w:p w:rsidR="00B16BA5" w:rsidRDefault="00B16BA5" w:rsidP="00D53774">
      <w:pPr>
        <w:spacing w:before="100" w:beforeAutospacing="1" w:after="100" w:afterAutospacing="1" w:line="240" w:lineRule="auto"/>
        <w:outlineLvl w:val="0"/>
        <w:rPr>
          <w:rFonts w:ascii="Arial" w:hAnsi="Arial" w:cs="Arial"/>
        </w:rPr>
      </w:pPr>
      <w:r>
        <w:t xml:space="preserve">4.1 Teologi Ruang dan Posisi Mimbar/Panggung </w:t>
      </w:r>
    </w:p>
    <w:p w:rsidR="00B16BA5" w:rsidRDefault="00B16BA5" w:rsidP="00D53774">
      <w:pPr>
        <w:spacing w:before="100" w:beforeAutospacing="1" w:after="100" w:afterAutospacing="1" w:line="240" w:lineRule="auto"/>
        <w:outlineLvl w:val="0"/>
        <w:rPr>
          <w:rFonts w:ascii="Arial" w:hAnsi="Arial" w:cs="Arial"/>
        </w:rPr>
      </w:pPr>
      <w:r>
        <w:t xml:space="preserve"> 4.2 Prinsip Arsitektur Megachurch dan Auditorium Modern </w:t>
      </w:r>
    </w:p>
    <w:p w:rsidR="00B16BA5" w:rsidRDefault="00B16BA5" w:rsidP="00D53774">
      <w:pPr>
        <w:spacing w:before="100" w:beforeAutospacing="1" w:after="100" w:afterAutospacing="1" w:line="240" w:lineRule="auto"/>
        <w:outlineLvl w:val="0"/>
      </w:pPr>
      <w:r>
        <w:lastRenderedPageBreak/>
        <w:t xml:space="preserve">4.3 Integrasi Audio-Visual, Lighting, dan Media Proyeksi </w:t>
      </w:r>
    </w:p>
    <w:p w:rsidR="00B16BA5" w:rsidRDefault="00B16BA5" w:rsidP="00D53774">
      <w:pPr>
        <w:spacing w:before="100" w:beforeAutospacing="1" w:after="100" w:afterAutospacing="1" w:line="240" w:lineRule="auto"/>
        <w:outlineLvl w:val="0"/>
      </w:pPr>
      <w:r>
        <w:t xml:space="preserve">4.4 Pembaruan Etis: Ruang Ibadah yang Berpihak pada Kepedulian Sosial </w:t>
      </w:r>
    </w:p>
    <w:p w:rsidR="00B16BA5" w:rsidRDefault="00B16BA5" w:rsidP="00D53774">
      <w:pPr>
        <w:spacing w:before="100" w:beforeAutospacing="1" w:after="100" w:afterAutospacing="1" w:line="240" w:lineRule="auto"/>
        <w:outlineLvl w:val="0"/>
        <w:rPr>
          <w:rFonts w:ascii="Arial" w:hAnsi="Arial" w:cs="Arial"/>
        </w:rPr>
      </w:pPr>
      <w:r>
        <w:t xml:space="preserve">BAB V ETIKA KEPEMIMPINAN DALAM PELAYANAN MUSIK GEREJA </w:t>
      </w:r>
    </w:p>
    <w:p w:rsidR="00B16BA5" w:rsidRDefault="00B16BA5" w:rsidP="00D53774">
      <w:pPr>
        <w:spacing w:before="100" w:beforeAutospacing="1" w:after="100" w:afterAutospacing="1" w:line="240" w:lineRule="auto"/>
        <w:outlineLvl w:val="0"/>
        <w:rPr>
          <w:rFonts w:ascii="Arial" w:hAnsi="Arial" w:cs="Arial"/>
        </w:rPr>
      </w:pPr>
      <w:r>
        <w:t xml:space="preserve">5.1 Landasan Etika Kepemimpinan Kristen (Servant Leadership) </w:t>
      </w:r>
    </w:p>
    <w:p w:rsidR="00B16BA5" w:rsidRDefault="00B16BA5" w:rsidP="00D53774">
      <w:pPr>
        <w:spacing w:before="100" w:beforeAutospacing="1" w:after="100" w:afterAutospacing="1" w:line="240" w:lineRule="auto"/>
        <w:outlineLvl w:val="0"/>
      </w:pPr>
      <w:r>
        <w:t xml:space="preserve">5.2 Pengelolaan Konflik, Pilih Kasih, dan Pembinaan Tim </w:t>
      </w:r>
    </w:p>
    <w:p w:rsidR="00D53774" w:rsidRDefault="00B16BA5" w:rsidP="00D53774">
      <w:pPr>
        <w:spacing w:before="100" w:beforeAutospacing="1" w:after="100" w:afterAutospacing="1" w:line="240" w:lineRule="auto"/>
        <w:outlineLvl w:val="0"/>
        <w:rPr>
          <w:rFonts w:ascii="Times New Roman" w:eastAsia="Times New Roman" w:hAnsi="Times New Roman" w:cs="Times New Roman"/>
          <w:b/>
          <w:bCs/>
          <w:kern w:val="36"/>
          <w14:ligatures w14:val="none"/>
        </w:rPr>
      </w:pPr>
      <w:r>
        <w:t>5.3 Integritas Moral, Transparansi Finansial, dan Tanggung Jawab Pastoral</w:t>
      </w:r>
    </w:p>
    <w:p w:rsidR="00B16BA5" w:rsidRDefault="00B16BA5" w:rsidP="00D53774">
      <w:pPr>
        <w:spacing w:before="100" w:beforeAutospacing="1" w:after="100" w:afterAutospacing="1" w:line="240" w:lineRule="auto"/>
        <w:jc w:val="center"/>
        <w:outlineLvl w:val="0"/>
        <w:rPr>
          <w:rFonts w:ascii="Times New Roman" w:eastAsia="Times New Roman" w:hAnsi="Times New Roman" w:cs="Times New Roman"/>
          <w:b/>
          <w:bCs/>
          <w:kern w:val="36"/>
          <w14:ligatures w14:val="none"/>
        </w:rPr>
      </w:pPr>
    </w:p>
    <w:p w:rsidR="00B16BA5" w:rsidRDefault="00B16BA5" w:rsidP="00D53774">
      <w:pPr>
        <w:spacing w:before="100" w:beforeAutospacing="1" w:after="100" w:afterAutospacing="1" w:line="240" w:lineRule="auto"/>
        <w:jc w:val="center"/>
        <w:outlineLvl w:val="0"/>
        <w:rPr>
          <w:rFonts w:ascii="Times New Roman" w:eastAsia="Times New Roman" w:hAnsi="Times New Roman" w:cs="Times New Roman"/>
          <w:b/>
          <w:bCs/>
          <w:kern w:val="36"/>
          <w14:ligatures w14:val="none"/>
        </w:rPr>
      </w:pPr>
    </w:p>
    <w:p w:rsidR="00B16BA5" w:rsidRDefault="00B16BA5" w:rsidP="00D53774">
      <w:pPr>
        <w:spacing w:before="100" w:beforeAutospacing="1" w:after="100" w:afterAutospacing="1" w:line="240" w:lineRule="auto"/>
        <w:jc w:val="center"/>
        <w:outlineLvl w:val="0"/>
        <w:rPr>
          <w:rFonts w:ascii="Times New Roman" w:eastAsia="Times New Roman" w:hAnsi="Times New Roman" w:cs="Times New Roman"/>
          <w:b/>
          <w:bCs/>
          <w:kern w:val="36"/>
          <w14:ligatures w14:val="none"/>
        </w:rPr>
      </w:pPr>
    </w:p>
    <w:p w:rsidR="00B16BA5" w:rsidRDefault="00B16BA5" w:rsidP="00D53774">
      <w:pPr>
        <w:spacing w:before="100" w:beforeAutospacing="1" w:after="100" w:afterAutospacing="1" w:line="240" w:lineRule="auto"/>
        <w:jc w:val="center"/>
        <w:outlineLvl w:val="0"/>
        <w:rPr>
          <w:rFonts w:ascii="Times New Roman" w:eastAsia="Times New Roman" w:hAnsi="Times New Roman" w:cs="Times New Roman"/>
          <w:b/>
          <w:bCs/>
          <w:kern w:val="36"/>
          <w14:ligatures w14:val="none"/>
        </w:rPr>
      </w:pPr>
    </w:p>
    <w:p w:rsidR="00B16BA5" w:rsidRDefault="00B16BA5" w:rsidP="00D53774">
      <w:pPr>
        <w:spacing w:before="100" w:beforeAutospacing="1" w:after="100" w:afterAutospacing="1" w:line="240" w:lineRule="auto"/>
        <w:jc w:val="center"/>
        <w:outlineLvl w:val="0"/>
        <w:rPr>
          <w:rFonts w:ascii="Times New Roman" w:eastAsia="Times New Roman" w:hAnsi="Times New Roman" w:cs="Times New Roman"/>
          <w:b/>
          <w:bCs/>
          <w:kern w:val="36"/>
          <w14:ligatures w14:val="none"/>
        </w:rPr>
      </w:pPr>
    </w:p>
    <w:p w:rsidR="00B16BA5" w:rsidRDefault="00B16BA5" w:rsidP="00D53774">
      <w:pPr>
        <w:spacing w:before="100" w:beforeAutospacing="1" w:after="100" w:afterAutospacing="1" w:line="240" w:lineRule="auto"/>
        <w:jc w:val="center"/>
        <w:outlineLvl w:val="0"/>
        <w:rPr>
          <w:rFonts w:ascii="Times New Roman" w:eastAsia="Times New Roman" w:hAnsi="Times New Roman" w:cs="Times New Roman"/>
          <w:b/>
          <w:bCs/>
          <w:kern w:val="36"/>
          <w14:ligatures w14:val="none"/>
        </w:rPr>
      </w:pPr>
    </w:p>
    <w:p w:rsidR="00B16BA5" w:rsidRDefault="00B16BA5" w:rsidP="00D53774">
      <w:pPr>
        <w:spacing w:before="100" w:beforeAutospacing="1" w:after="100" w:afterAutospacing="1" w:line="240" w:lineRule="auto"/>
        <w:jc w:val="center"/>
        <w:outlineLvl w:val="0"/>
        <w:rPr>
          <w:rFonts w:ascii="Times New Roman" w:eastAsia="Times New Roman" w:hAnsi="Times New Roman" w:cs="Times New Roman"/>
          <w:b/>
          <w:bCs/>
          <w:kern w:val="36"/>
          <w14:ligatures w14:val="none"/>
        </w:rPr>
      </w:pPr>
    </w:p>
    <w:p w:rsidR="00B16BA5" w:rsidRDefault="00B16BA5" w:rsidP="00D53774">
      <w:pPr>
        <w:spacing w:before="100" w:beforeAutospacing="1" w:after="100" w:afterAutospacing="1" w:line="240" w:lineRule="auto"/>
        <w:jc w:val="center"/>
        <w:outlineLvl w:val="0"/>
        <w:rPr>
          <w:rFonts w:ascii="Times New Roman" w:eastAsia="Times New Roman" w:hAnsi="Times New Roman" w:cs="Times New Roman"/>
          <w:b/>
          <w:bCs/>
          <w:kern w:val="36"/>
          <w14:ligatures w14:val="none"/>
        </w:rPr>
      </w:pPr>
    </w:p>
    <w:p w:rsidR="00B16BA5" w:rsidRDefault="00B16BA5" w:rsidP="00D53774">
      <w:pPr>
        <w:spacing w:before="100" w:beforeAutospacing="1" w:after="100" w:afterAutospacing="1" w:line="240" w:lineRule="auto"/>
        <w:jc w:val="center"/>
        <w:outlineLvl w:val="0"/>
        <w:rPr>
          <w:rFonts w:ascii="Times New Roman" w:eastAsia="Times New Roman" w:hAnsi="Times New Roman" w:cs="Times New Roman"/>
          <w:b/>
          <w:bCs/>
          <w:kern w:val="36"/>
          <w14:ligatures w14:val="none"/>
        </w:rPr>
      </w:pPr>
    </w:p>
    <w:p w:rsidR="00B16BA5" w:rsidRDefault="00B16BA5" w:rsidP="00D53774">
      <w:pPr>
        <w:spacing w:before="100" w:beforeAutospacing="1" w:after="100" w:afterAutospacing="1" w:line="240" w:lineRule="auto"/>
        <w:jc w:val="center"/>
        <w:outlineLvl w:val="0"/>
        <w:rPr>
          <w:rFonts w:ascii="Times New Roman" w:eastAsia="Times New Roman" w:hAnsi="Times New Roman" w:cs="Times New Roman"/>
          <w:b/>
          <w:bCs/>
          <w:kern w:val="36"/>
          <w14:ligatures w14:val="none"/>
        </w:rPr>
      </w:pPr>
    </w:p>
    <w:p w:rsidR="00B16BA5" w:rsidRDefault="00B16BA5" w:rsidP="00D53774">
      <w:pPr>
        <w:spacing w:before="100" w:beforeAutospacing="1" w:after="100" w:afterAutospacing="1" w:line="240" w:lineRule="auto"/>
        <w:jc w:val="center"/>
        <w:outlineLvl w:val="0"/>
        <w:rPr>
          <w:rFonts w:ascii="Times New Roman" w:eastAsia="Times New Roman" w:hAnsi="Times New Roman" w:cs="Times New Roman"/>
          <w:b/>
          <w:bCs/>
          <w:kern w:val="36"/>
          <w14:ligatures w14:val="none"/>
        </w:rPr>
      </w:pPr>
    </w:p>
    <w:p w:rsidR="00B16BA5" w:rsidRDefault="00B16BA5" w:rsidP="00D53774">
      <w:pPr>
        <w:spacing w:before="100" w:beforeAutospacing="1" w:after="100" w:afterAutospacing="1" w:line="240" w:lineRule="auto"/>
        <w:jc w:val="center"/>
        <w:outlineLvl w:val="0"/>
        <w:rPr>
          <w:rFonts w:ascii="Times New Roman" w:eastAsia="Times New Roman" w:hAnsi="Times New Roman" w:cs="Times New Roman"/>
          <w:b/>
          <w:bCs/>
          <w:kern w:val="36"/>
          <w14:ligatures w14:val="none"/>
        </w:rPr>
      </w:pPr>
    </w:p>
    <w:p w:rsidR="00B16BA5" w:rsidRDefault="00B16BA5" w:rsidP="00D53774">
      <w:pPr>
        <w:spacing w:before="100" w:beforeAutospacing="1" w:after="100" w:afterAutospacing="1" w:line="240" w:lineRule="auto"/>
        <w:jc w:val="center"/>
        <w:outlineLvl w:val="0"/>
        <w:rPr>
          <w:rFonts w:ascii="Times New Roman" w:eastAsia="Times New Roman" w:hAnsi="Times New Roman" w:cs="Times New Roman"/>
          <w:b/>
          <w:bCs/>
          <w:kern w:val="36"/>
          <w14:ligatures w14:val="none"/>
        </w:rPr>
      </w:pPr>
    </w:p>
    <w:p w:rsidR="00B16BA5" w:rsidRDefault="00B16BA5" w:rsidP="00D53774">
      <w:pPr>
        <w:spacing w:before="100" w:beforeAutospacing="1" w:after="100" w:afterAutospacing="1" w:line="240" w:lineRule="auto"/>
        <w:jc w:val="center"/>
        <w:outlineLvl w:val="0"/>
        <w:rPr>
          <w:rFonts w:ascii="Times New Roman" w:eastAsia="Times New Roman" w:hAnsi="Times New Roman" w:cs="Times New Roman"/>
          <w:b/>
          <w:bCs/>
          <w:kern w:val="36"/>
          <w14:ligatures w14:val="none"/>
        </w:rPr>
      </w:pPr>
    </w:p>
    <w:p w:rsidR="00B16BA5" w:rsidRDefault="00B16BA5" w:rsidP="00D53774">
      <w:pPr>
        <w:spacing w:before="100" w:beforeAutospacing="1" w:after="100" w:afterAutospacing="1" w:line="240" w:lineRule="auto"/>
        <w:jc w:val="center"/>
        <w:outlineLvl w:val="0"/>
        <w:rPr>
          <w:rFonts w:ascii="Times New Roman" w:eastAsia="Times New Roman" w:hAnsi="Times New Roman" w:cs="Times New Roman"/>
          <w:b/>
          <w:bCs/>
          <w:kern w:val="36"/>
          <w14:ligatures w14:val="none"/>
        </w:rPr>
      </w:pPr>
    </w:p>
    <w:p w:rsidR="00B16BA5" w:rsidRDefault="00B16BA5" w:rsidP="00D53774">
      <w:pPr>
        <w:spacing w:before="100" w:beforeAutospacing="1" w:after="100" w:afterAutospacing="1" w:line="240" w:lineRule="auto"/>
        <w:jc w:val="center"/>
        <w:outlineLvl w:val="0"/>
        <w:rPr>
          <w:rFonts w:ascii="Times New Roman" w:eastAsia="Times New Roman" w:hAnsi="Times New Roman" w:cs="Times New Roman"/>
          <w:b/>
          <w:bCs/>
          <w:kern w:val="36"/>
          <w14:ligatures w14:val="none"/>
        </w:rPr>
      </w:pPr>
    </w:p>
    <w:p w:rsidR="00B16BA5" w:rsidRDefault="00B16BA5" w:rsidP="00D53774">
      <w:pPr>
        <w:spacing w:before="100" w:beforeAutospacing="1" w:after="100" w:afterAutospacing="1" w:line="240" w:lineRule="auto"/>
        <w:jc w:val="center"/>
        <w:outlineLvl w:val="0"/>
        <w:rPr>
          <w:rFonts w:ascii="Times New Roman" w:eastAsia="Times New Roman" w:hAnsi="Times New Roman" w:cs="Times New Roman"/>
          <w:b/>
          <w:bCs/>
          <w:kern w:val="36"/>
          <w14:ligatures w14:val="none"/>
        </w:rPr>
      </w:pPr>
    </w:p>
    <w:p w:rsidR="00B16BA5" w:rsidRDefault="00B16BA5" w:rsidP="00D53774">
      <w:pPr>
        <w:spacing w:before="100" w:beforeAutospacing="1" w:after="100" w:afterAutospacing="1" w:line="240" w:lineRule="auto"/>
        <w:jc w:val="center"/>
        <w:outlineLvl w:val="0"/>
        <w:rPr>
          <w:rFonts w:ascii="Times New Roman" w:eastAsia="Times New Roman" w:hAnsi="Times New Roman" w:cs="Times New Roman"/>
          <w:b/>
          <w:bCs/>
          <w:kern w:val="36"/>
          <w14:ligatures w14:val="none"/>
        </w:rPr>
      </w:pPr>
    </w:p>
    <w:p w:rsidR="00B16BA5" w:rsidRDefault="00B16BA5" w:rsidP="00D53774">
      <w:pPr>
        <w:spacing w:before="100" w:beforeAutospacing="1" w:after="100" w:afterAutospacing="1" w:line="240" w:lineRule="auto"/>
        <w:jc w:val="center"/>
        <w:outlineLvl w:val="0"/>
        <w:rPr>
          <w:rFonts w:ascii="Times New Roman" w:eastAsia="Times New Roman" w:hAnsi="Times New Roman" w:cs="Times New Roman"/>
          <w:b/>
          <w:bCs/>
          <w:kern w:val="36"/>
          <w14:ligatures w14:val="none"/>
        </w:rPr>
      </w:pPr>
    </w:p>
    <w:p w:rsidR="00B16BA5" w:rsidRDefault="00B16BA5" w:rsidP="00D53774">
      <w:pPr>
        <w:spacing w:before="100" w:beforeAutospacing="1" w:after="100" w:afterAutospacing="1" w:line="240" w:lineRule="auto"/>
        <w:jc w:val="center"/>
        <w:outlineLvl w:val="0"/>
        <w:rPr>
          <w:rFonts w:ascii="Times New Roman" w:eastAsia="Times New Roman" w:hAnsi="Times New Roman" w:cs="Times New Roman"/>
          <w:b/>
          <w:bCs/>
          <w:kern w:val="36"/>
          <w14:ligatures w14:val="none"/>
        </w:rPr>
      </w:pPr>
    </w:p>
    <w:p w:rsidR="00D53774" w:rsidRDefault="00D53774" w:rsidP="00D53774">
      <w:pPr>
        <w:spacing w:before="100" w:beforeAutospacing="1" w:after="100" w:afterAutospacing="1" w:line="240" w:lineRule="auto"/>
        <w:jc w:val="center"/>
        <w:outlineLvl w:val="0"/>
        <w:rPr>
          <w:rFonts w:ascii="Times New Roman" w:eastAsia="Times New Roman" w:hAnsi="Times New Roman" w:cs="Times New Roman"/>
          <w:b/>
          <w:bCs/>
          <w:kern w:val="36"/>
          <w14:ligatures w14:val="none"/>
        </w:rPr>
      </w:pPr>
      <w:r>
        <w:rPr>
          <w:rFonts w:ascii="Times New Roman" w:eastAsia="Times New Roman" w:hAnsi="Times New Roman" w:cs="Times New Roman"/>
          <w:b/>
          <w:bCs/>
          <w:kern w:val="36"/>
          <w14:ligatures w14:val="none"/>
        </w:rPr>
        <w:t>BAB 1</w:t>
      </w:r>
    </w:p>
    <w:p w:rsidR="00D53774" w:rsidRPr="00D53774" w:rsidRDefault="00D53774" w:rsidP="00D53774">
      <w:pPr>
        <w:spacing w:before="100" w:beforeAutospacing="1" w:after="100" w:afterAutospacing="1" w:line="240" w:lineRule="auto"/>
        <w:jc w:val="center"/>
        <w:outlineLvl w:val="0"/>
        <w:rPr>
          <w:rFonts w:ascii="Times New Roman" w:eastAsia="Times New Roman" w:hAnsi="Times New Roman" w:cs="Times New Roman"/>
          <w:b/>
          <w:bCs/>
          <w:kern w:val="36"/>
          <w14:ligatures w14:val="none"/>
        </w:rPr>
      </w:pPr>
      <w:r w:rsidRPr="00D53774">
        <w:rPr>
          <w:rFonts w:ascii="Times New Roman" w:eastAsia="Times New Roman" w:hAnsi="Times New Roman" w:cs="Times New Roman"/>
          <w:b/>
          <w:bCs/>
          <w:kern w:val="36"/>
          <w14:ligatures w14:val="none"/>
        </w:rPr>
        <w:t>LANDASAN TEOLOGI DAN PEMBENTUKAN SPIRITUAL IBADAH</w:t>
      </w:r>
    </w:p>
    <w:p w:rsidR="00D53774" w:rsidRPr="00D53774" w:rsidRDefault="00D53774" w:rsidP="00D53774">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D53774">
        <w:rPr>
          <w:rFonts w:ascii="Times New Roman" w:eastAsia="Times New Roman" w:hAnsi="Times New Roman" w:cs="Times New Roman"/>
          <w:b/>
          <w:bCs/>
          <w:kern w:val="0"/>
          <w14:ligatures w14:val="none"/>
        </w:rPr>
        <w:t>1 Hakikat dan Tujuan Ibadah</w:t>
      </w:r>
    </w:p>
    <w:p w:rsidR="00D53774" w:rsidRPr="00D53774" w:rsidRDefault="00D53774" w:rsidP="00D53774">
      <w:pPr>
        <w:spacing w:before="100" w:beforeAutospacing="1" w:after="100" w:afterAutospacing="1" w:line="36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t>Ibadah Kristen pada hakikatnya bukanlah sebuah pertunjukan yang dirancang untuk menghibur manusia, melainkan perjumpaan ilahi yang kudus dan berpusat pada Allah Tritunggal. Secara teologis, ibadah adalah gerakan dialogis yang diinisiasi oleh Allah sendiri (</w:t>
      </w:r>
      <w:r w:rsidRPr="00D53774">
        <w:rPr>
          <w:rFonts w:ascii="Times New Roman" w:eastAsia="Times New Roman" w:hAnsi="Times New Roman" w:cs="Times New Roman"/>
          <w:i/>
          <w:iCs/>
          <w:kern w:val="0"/>
          <w14:ligatures w14:val="none"/>
        </w:rPr>
        <w:t>divine initiative</w:t>
      </w:r>
      <w:r w:rsidRPr="00D53774">
        <w:rPr>
          <w:rFonts w:ascii="Times New Roman" w:eastAsia="Times New Roman" w:hAnsi="Times New Roman" w:cs="Times New Roman"/>
          <w:kern w:val="0"/>
          <w14:ligatures w14:val="none"/>
        </w:rPr>
        <w:t>) dan direspons oleh umat-umat-Nya melalui iman, ucapan syukur, dan penyerahan diri (</w:t>
      </w:r>
      <w:r w:rsidRPr="00D53774">
        <w:rPr>
          <w:rFonts w:ascii="Times New Roman" w:eastAsia="Times New Roman" w:hAnsi="Times New Roman" w:cs="Times New Roman"/>
          <w:i/>
          <w:iCs/>
          <w:kern w:val="0"/>
          <w14:ligatures w14:val="none"/>
        </w:rPr>
        <w:t>human response</w:t>
      </w:r>
      <w:r w:rsidRPr="00D53774">
        <w:rPr>
          <w:rFonts w:ascii="Times New Roman" w:eastAsia="Times New Roman" w:hAnsi="Times New Roman" w:cs="Times New Roman"/>
          <w:kern w:val="0"/>
          <w14:ligatures w14:val="none"/>
        </w:rPr>
        <w:t>).</w:t>
      </w:r>
    </w:p>
    <w:p w:rsidR="00D53774" w:rsidRPr="00D53774" w:rsidRDefault="00D53774" w:rsidP="00D53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D53774">
        <w:rPr>
          <w:rFonts w:ascii="Courier New" w:eastAsia="Times New Roman" w:hAnsi="Courier New" w:cs="Courier New"/>
          <w:kern w:val="0"/>
          <w:sz w:val="20"/>
          <w:szCs w:val="20"/>
          <w14:ligatures w14:val="none"/>
        </w:rPr>
        <w:t xml:space="preserve">  ┌─────────────────────────────────────────────────────────────┐</w:t>
      </w:r>
    </w:p>
    <w:p w:rsidR="00D53774" w:rsidRPr="00D53774" w:rsidRDefault="00D53774" w:rsidP="00D53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D53774">
        <w:rPr>
          <w:rFonts w:ascii="Courier New" w:eastAsia="Times New Roman" w:hAnsi="Courier New" w:cs="Courier New"/>
          <w:kern w:val="0"/>
          <w:sz w:val="20"/>
          <w:szCs w:val="20"/>
          <w14:ligatures w14:val="none"/>
        </w:rPr>
        <w:t xml:space="preserve">  │                        ALLAH TRITUNGGAL                     │</w:t>
      </w:r>
    </w:p>
    <w:p w:rsidR="00D53774" w:rsidRPr="00D53774" w:rsidRDefault="00D53774" w:rsidP="00D53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D53774">
        <w:rPr>
          <w:rFonts w:ascii="Courier New" w:eastAsia="Times New Roman" w:hAnsi="Courier New" w:cs="Courier New"/>
          <w:kern w:val="0"/>
          <w:sz w:val="20"/>
          <w:szCs w:val="20"/>
          <w14:ligatures w14:val="none"/>
        </w:rPr>
        <w:t xml:space="preserve">  │            Wahyu / Inisiatif Ilahi (Revelation)             │</w:t>
      </w:r>
    </w:p>
    <w:p w:rsidR="00D53774" w:rsidRPr="00D53774" w:rsidRDefault="00D53774" w:rsidP="00D53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D53774">
        <w:rPr>
          <w:rFonts w:ascii="Courier New" w:eastAsia="Times New Roman" w:hAnsi="Courier New" w:cs="Courier New"/>
          <w:kern w:val="0"/>
          <w:sz w:val="20"/>
          <w:szCs w:val="20"/>
          <w14:ligatures w14:val="none"/>
        </w:rPr>
        <w:t xml:space="preserve">  └──────────────────────────────┬──────────────────────────────┘</w:t>
      </w:r>
    </w:p>
    <w:p w:rsidR="00D53774" w:rsidRPr="00D53774" w:rsidRDefault="00D53774" w:rsidP="00D53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D53774">
        <w:rPr>
          <w:rFonts w:ascii="Courier New" w:eastAsia="Times New Roman" w:hAnsi="Courier New" w:cs="Courier New"/>
          <w:kern w:val="0"/>
          <w:sz w:val="20"/>
          <w:szCs w:val="20"/>
          <w14:ligatures w14:val="none"/>
        </w:rPr>
        <w:t xml:space="preserve">                                 │</w:t>
      </w:r>
    </w:p>
    <w:p w:rsidR="00D53774" w:rsidRPr="00D53774" w:rsidRDefault="00D53774" w:rsidP="00D53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D53774">
        <w:rPr>
          <w:rFonts w:ascii="Courier New" w:eastAsia="Times New Roman" w:hAnsi="Courier New" w:cs="Courier New"/>
          <w:kern w:val="0"/>
          <w:sz w:val="20"/>
          <w:szCs w:val="20"/>
          <w14:ligatures w14:val="none"/>
        </w:rPr>
        <w:t xml:space="preserve">                                 ▼</w:t>
      </w:r>
    </w:p>
    <w:p w:rsidR="00D53774" w:rsidRPr="00D53774" w:rsidRDefault="00D53774" w:rsidP="00D53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D53774">
        <w:rPr>
          <w:rFonts w:ascii="Courier New" w:eastAsia="Times New Roman" w:hAnsi="Courier New" w:cs="Courier New"/>
          <w:kern w:val="0"/>
          <w:sz w:val="20"/>
          <w:szCs w:val="20"/>
          <w14:ligatures w14:val="none"/>
        </w:rPr>
        <w:t xml:space="preserve">  ┌─────────────────────────────────────────────────────────────┐</w:t>
      </w:r>
    </w:p>
    <w:p w:rsidR="00D53774" w:rsidRPr="00D53774" w:rsidRDefault="00D53774" w:rsidP="00D53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D53774">
        <w:rPr>
          <w:rFonts w:ascii="Courier New" w:eastAsia="Times New Roman" w:hAnsi="Courier New" w:cs="Courier New"/>
          <w:kern w:val="0"/>
          <w:sz w:val="20"/>
          <w:szCs w:val="20"/>
          <w14:ligatures w14:val="none"/>
        </w:rPr>
        <w:t xml:space="preserve">  │                           UMAT ALLAH                        │</w:t>
      </w:r>
    </w:p>
    <w:p w:rsidR="00D53774" w:rsidRPr="00D53774" w:rsidRDefault="00D53774" w:rsidP="00D53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D53774">
        <w:rPr>
          <w:rFonts w:ascii="Courier New" w:eastAsia="Times New Roman" w:hAnsi="Courier New" w:cs="Courier New"/>
          <w:kern w:val="0"/>
          <w:sz w:val="20"/>
          <w:szCs w:val="20"/>
          <w14:ligatures w14:val="none"/>
        </w:rPr>
        <w:t xml:space="preserve">  │          Respons Iman &amp; Penyembahan (Response)              │</w:t>
      </w:r>
    </w:p>
    <w:p w:rsidR="00D53774" w:rsidRPr="00D53774" w:rsidRDefault="00D53774" w:rsidP="00D53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D53774">
        <w:rPr>
          <w:rFonts w:ascii="Courier New" w:eastAsia="Times New Roman" w:hAnsi="Courier New" w:cs="Courier New"/>
          <w:kern w:val="0"/>
          <w:sz w:val="20"/>
          <w:szCs w:val="20"/>
          <w14:ligatures w14:val="none"/>
        </w:rPr>
        <w:t xml:space="preserve">  └─────────────────────────────────────────────────────────────┘</w:t>
      </w:r>
    </w:p>
    <w:p w:rsidR="00D53774" w:rsidRPr="00D53774" w:rsidRDefault="00D53774" w:rsidP="00D53774">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D53774">
        <w:rPr>
          <w:rFonts w:ascii="Times New Roman" w:eastAsia="Times New Roman" w:hAnsi="Times New Roman" w:cs="Times New Roman"/>
          <w:b/>
          <w:bCs/>
          <w:kern w:val="0"/>
          <w14:ligatures w14:val="none"/>
        </w:rPr>
        <w:t>A. Pola Dialogis Wahyu dan Respons</w:t>
      </w:r>
    </w:p>
    <w:p w:rsidR="00D53774" w:rsidRPr="00D53774" w:rsidRDefault="00D53774" w:rsidP="00D53774">
      <w:pPr>
        <w:spacing w:before="100" w:beforeAutospacing="1" w:after="100" w:afterAutospacing="1" w:line="36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t>Di dalam Perjanjian Lama maupun Perjanjian Baru, ibadah selalu dimulai saat Allah menyatakan diri-Nya (</w:t>
      </w:r>
      <w:r w:rsidRPr="00D53774">
        <w:rPr>
          <w:rFonts w:ascii="Times New Roman" w:eastAsia="Times New Roman" w:hAnsi="Times New Roman" w:cs="Times New Roman"/>
          <w:i/>
          <w:iCs/>
          <w:kern w:val="0"/>
          <w14:ligatures w14:val="none"/>
        </w:rPr>
        <w:t>revelation</w:t>
      </w:r>
      <w:r w:rsidRPr="00D53774">
        <w:rPr>
          <w:rFonts w:ascii="Times New Roman" w:eastAsia="Times New Roman" w:hAnsi="Times New Roman" w:cs="Times New Roman"/>
          <w:kern w:val="0"/>
          <w14:ligatures w14:val="none"/>
        </w:rPr>
        <w:t>). Ketika Allah menyatakan kemuliaan-Nya kepada Musa di Gunung Sinai (Kel. 19:16-25), memanggil Yesaya melalui penglihatan di Bait Suci (Yes. 6:1-8), atau ketika Dia menyatakan kasih karunia-Nya secara sempurna di dalam Yesus Kristus (Yoh. 1:14; Ibr. 1:1-3), manusia merespons dengan sujud menyembah, bertobat, serta mempersembahkan korban syukur (^1).</w:t>
      </w:r>
    </w:p>
    <w:p w:rsidR="00D53774" w:rsidRPr="00D53774" w:rsidRDefault="00D53774" w:rsidP="00D53774">
      <w:pPr>
        <w:spacing w:before="100" w:beforeAutospacing="1" w:after="100" w:afterAutospacing="1" w:line="36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lastRenderedPageBreak/>
        <w:t>Dalam konteks gereja modern, khususnya tradisi Pentakosta-Karismatik, alur dialogis ini harus tercermin jelas dalam setiap tata ibadah:</w:t>
      </w:r>
    </w:p>
    <w:p w:rsidR="00D53774" w:rsidRPr="00D53774" w:rsidRDefault="00D53774" w:rsidP="00D53774">
      <w:pPr>
        <w:spacing w:before="100" w:beforeAutospacing="1" w:after="100" w:afterAutospacing="1" w:line="36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b/>
          <w:bCs/>
          <w:kern w:val="0"/>
          <w14:ligatures w14:val="none"/>
        </w:rPr>
        <w:t>Allah Berbicara:</w:t>
      </w:r>
      <w:r w:rsidRPr="00D53774">
        <w:rPr>
          <w:rFonts w:ascii="Times New Roman" w:eastAsia="Times New Roman" w:hAnsi="Times New Roman" w:cs="Times New Roman"/>
          <w:kern w:val="0"/>
          <w14:ligatures w14:val="none"/>
        </w:rPr>
        <w:t xml:space="preserve"> Melalui pembacaan Alkitab, pemberitaan Firman (</w:t>
      </w:r>
      <w:r w:rsidRPr="00D53774">
        <w:rPr>
          <w:rFonts w:ascii="Times New Roman" w:eastAsia="Times New Roman" w:hAnsi="Times New Roman" w:cs="Times New Roman"/>
          <w:i/>
          <w:iCs/>
          <w:kern w:val="0"/>
          <w14:ligatures w14:val="none"/>
        </w:rPr>
        <w:t>kerygma</w:t>
      </w:r>
      <w:r w:rsidRPr="00D53774">
        <w:rPr>
          <w:rFonts w:ascii="Times New Roman" w:eastAsia="Times New Roman" w:hAnsi="Times New Roman" w:cs="Times New Roman"/>
          <w:kern w:val="0"/>
          <w14:ligatures w14:val="none"/>
        </w:rPr>
        <w:t>) yang diurapi oleh Roh Kudus, pengakuan iman, dan penyingkapan kebenaran oleh Roh Kudus (2 Tim. 3:16-17; 1 Kor. 14:24-25).</w:t>
      </w:r>
    </w:p>
    <w:p w:rsidR="00D53774" w:rsidRPr="00D53774" w:rsidRDefault="00D53774" w:rsidP="00D53774">
      <w:pPr>
        <w:spacing w:before="100" w:beforeAutospacing="1" w:after="100" w:afterAutospacing="1" w:line="36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b/>
          <w:bCs/>
          <w:kern w:val="0"/>
          <w14:ligatures w14:val="none"/>
        </w:rPr>
        <w:t>Manusia Merespons:</w:t>
      </w:r>
      <w:r w:rsidRPr="00D53774">
        <w:rPr>
          <w:rFonts w:ascii="Times New Roman" w:eastAsia="Times New Roman" w:hAnsi="Times New Roman" w:cs="Times New Roman"/>
          <w:kern w:val="0"/>
          <w14:ligatures w14:val="none"/>
        </w:rPr>
        <w:t xml:space="preserve"> Melalui nyanyian pujian dan penyembahan, doa syafaat, penyerahan persembahan, perjamuan kudus, dan pembaharuan komitmen hidup di hadapan Allah (Rm. 12:1; Ibr. 13:15-16).</w:t>
      </w:r>
    </w:p>
    <w:p w:rsidR="00D53774" w:rsidRPr="00D53774" w:rsidRDefault="00D53774" w:rsidP="00D53774">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D53774">
        <w:rPr>
          <w:rFonts w:ascii="Times New Roman" w:eastAsia="Times New Roman" w:hAnsi="Times New Roman" w:cs="Times New Roman"/>
          <w:b/>
          <w:bCs/>
          <w:kern w:val="0"/>
          <w14:ligatures w14:val="none"/>
        </w:rPr>
        <w:t>B. Pusat Ibadah yang Berpusat pada Kristus (</w:t>
      </w:r>
      <w:r w:rsidRPr="00D53774">
        <w:rPr>
          <w:rFonts w:ascii="Times New Roman" w:eastAsia="Times New Roman" w:hAnsi="Times New Roman" w:cs="Times New Roman"/>
          <w:b/>
          <w:bCs/>
          <w:i/>
          <w:iCs/>
          <w:kern w:val="0"/>
          <w14:ligatures w14:val="none"/>
        </w:rPr>
        <w:t>Christocentric</w:t>
      </w:r>
      <w:r w:rsidRPr="00D53774">
        <w:rPr>
          <w:rFonts w:ascii="Times New Roman" w:eastAsia="Times New Roman" w:hAnsi="Times New Roman" w:cs="Times New Roman"/>
          <w:b/>
          <w:bCs/>
          <w:kern w:val="0"/>
          <w14:ligatures w14:val="none"/>
        </w:rPr>
        <w:t>)</w:t>
      </w:r>
    </w:p>
    <w:p w:rsidR="00D53774" w:rsidRPr="00D53774" w:rsidRDefault="00D53774" w:rsidP="00D53774">
      <w:pPr>
        <w:spacing w:before="100" w:beforeAutospacing="1" w:after="100" w:afterAutospacing="1" w:line="36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t>Ibadah yang sehat dan alkitabiah tidak boleh terjebak menjadi acara yang berpusat pada manusia (</w:t>
      </w:r>
      <w:r w:rsidRPr="00D53774">
        <w:rPr>
          <w:rFonts w:ascii="Times New Roman" w:eastAsia="Times New Roman" w:hAnsi="Times New Roman" w:cs="Times New Roman"/>
          <w:i/>
          <w:iCs/>
          <w:kern w:val="0"/>
          <w14:ligatures w14:val="none"/>
        </w:rPr>
        <w:t>anthropocentric</w:t>
      </w:r>
      <w:r w:rsidRPr="00D53774">
        <w:rPr>
          <w:rFonts w:ascii="Times New Roman" w:eastAsia="Times New Roman" w:hAnsi="Times New Roman" w:cs="Times New Roman"/>
          <w:kern w:val="0"/>
          <w14:ligatures w14:val="none"/>
        </w:rPr>
        <w:t>), di mana kepuasan emosional atau hiburan jemaat dijadikan tolok ukur utama. Ibadah yang benar senantiasa berpusat pada Yesus Kristus—karya salib-Nya, kebangkitan-Nya, dan janji kedatangan-Nya kembali (Kol. 1:15-20; Flp. 2:9-11).</w:t>
      </w:r>
    </w:p>
    <w:p w:rsidR="00D53774" w:rsidRPr="00D53774" w:rsidRDefault="00D53774" w:rsidP="00D53774">
      <w:pPr>
        <w:spacing w:before="100" w:beforeAutospacing="1" w:after="100" w:afterAutospacing="1" w:line="36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t>Penyembahan yang dipimpin oleh Roh Kudus selalu mengarahkan perhatian jemaat untuk mengagungkan Kristus dan memuliakan Allah Bapa, bukan memegahkan talenta pengkhotbah, keahlian tim musik, atau kemegahan sarana fisik gereja (Yoh. 16:13-14; Gal. 6:14). Roh Kudus tidak pernah memuliakan diri-Nya sendiri, melainkan senantiasa menyoroti keindahan dan pengorbanan Kristus di kayu salib.</w:t>
      </w:r>
    </w:p>
    <w:p w:rsidR="00D53774" w:rsidRPr="00D53774" w:rsidRDefault="00D53774" w:rsidP="00D53774">
      <w:pPr>
        <w:spacing w:before="100" w:beforeAutospacing="1" w:after="100" w:afterAutospacing="1" w:line="240" w:lineRule="auto"/>
        <w:outlineLvl w:val="1"/>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2</w:t>
      </w:r>
      <w:r w:rsidRPr="00D53774">
        <w:rPr>
          <w:rFonts w:ascii="Times New Roman" w:eastAsia="Times New Roman" w:hAnsi="Times New Roman" w:cs="Times New Roman"/>
          <w:b/>
          <w:bCs/>
          <w:kern w:val="0"/>
          <w14:ligatures w14:val="none"/>
        </w:rPr>
        <w:t xml:space="preserve"> Liturgi dan </w:t>
      </w:r>
      <w:r w:rsidRPr="00D53774">
        <w:rPr>
          <w:rFonts w:ascii="Times New Roman" w:eastAsia="Times New Roman" w:hAnsi="Times New Roman" w:cs="Times New Roman"/>
          <w:b/>
          <w:bCs/>
          <w:i/>
          <w:iCs/>
          <w:kern w:val="0"/>
          <w14:ligatures w14:val="none"/>
        </w:rPr>
        <w:t>Spiritual Formation</w:t>
      </w:r>
    </w:p>
    <w:p w:rsidR="00D53774" w:rsidRPr="00D53774" w:rsidRDefault="00D53774" w:rsidP="00D53774">
      <w:pPr>
        <w:spacing w:before="100" w:beforeAutospacing="1" w:after="100" w:afterAutospacing="1" w:line="36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t xml:space="preserve">Istilah liturgi berasal dari kata Yunani </w:t>
      </w:r>
      <w:r w:rsidRPr="00D53774">
        <w:rPr>
          <w:rFonts w:ascii="Times New Roman" w:eastAsia="Times New Roman" w:hAnsi="Times New Roman" w:cs="Times New Roman"/>
          <w:i/>
          <w:iCs/>
          <w:kern w:val="0"/>
          <w14:ligatures w14:val="none"/>
        </w:rPr>
        <w:t>leitourgia</w:t>
      </w:r>
      <w:r w:rsidRPr="00D53774">
        <w:rPr>
          <w:rFonts w:ascii="Times New Roman" w:eastAsia="Times New Roman" w:hAnsi="Times New Roman" w:cs="Times New Roman"/>
          <w:kern w:val="0"/>
          <w14:ligatures w14:val="none"/>
        </w:rPr>
        <w:t xml:space="preserve">, yang terbentuk dari kata </w:t>
      </w:r>
      <w:r w:rsidRPr="00D53774">
        <w:rPr>
          <w:rFonts w:ascii="Times New Roman" w:eastAsia="Times New Roman" w:hAnsi="Times New Roman" w:cs="Times New Roman"/>
          <w:i/>
          <w:iCs/>
          <w:kern w:val="0"/>
          <w14:ligatures w14:val="none"/>
        </w:rPr>
        <w:t>laos</w:t>
      </w:r>
      <w:r w:rsidRPr="00D53774">
        <w:rPr>
          <w:rFonts w:ascii="Times New Roman" w:eastAsia="Times New Roman" w:hAnsi="Times New Roman" w:cs="Times New Roman"/>
          <w:kern w:val="0"/>
          <w14:ligatures w14:val="none"/>
        </w:rPr>
        <w:t xml:space="preserve"> (umat/rakyat) dan </w:t>
      </w:r>
      <w:r w:rsidRPr="00D53774">
        <w:rPr>
          <w:rFonts w:ascii="Times New Roman" w:eastAsia="Times New Roman" w:hAnsi="Times New Roman" w:cs="Times New Roman"/>
          <w:i/>
          <w:iCs/>
          <w:kern w:val="0"/>
          <w14:ligatures w14:val="none"/>
        </w:rPr>
        <w:t>ergon</w:t>
      </w:r>
      <w:r w:rsidRPr="00D53774">
        <w:rPr>
          <w:rFonts w:ascii="Times New Roman" w:eastAsia="Times New Roman" w:hAnsi="Times New Roman" w:cs="Times New Roman"/>
          <w:kern w:val="0"/>
          <w14:ligatures w14:val="none"/>
        </w:rPr>
        <w:t xml:space="preserve"> (pekerjaan/pelayanan), yang berarti "pelayanan bersama" atau "tugas publik umat" bagi Allah (Kis. 13:2) (^2). Liturgi bukan sekadar susunan acara yang kaku atau formalitas agamawi, melainkan sarana pembentukan kerohanian (</w:t>
      </w:r>
      <w:r w:rsidRPr="00D53774">
        <w:rPr>
          <w:rFonts w:ascii="Times New Roman" w:eastAsia="Times New Roman" w:hAnsi="Times New Roman" w:cs="Times New Roman"/>
          <w:i/>
          <w:iCs/>
          <w:kern w:val="0"/>
          <w14:ligatures w14:val="none"/>
        </w:rPr>
        <w:t>spiritual formation</w:t>
      </w:r>
      <w:r w:rsidRPr="00D53774">
        <w:rPr>
          <w:rFonts w:ascii="Times New Roman" w:eastAsia="Times New Roman" w:hAnsi="Times New Roman" w:cs="Times New Roman"/>
          <w:kern w:val="0"/>
          <w14:ligatures w14:val="none"/>
        </w:rPr>
        <w:t>) yang membentuk cara berpikir, mengasihi, dan hidup jemaat dari minggu ke minggu.</w:t>
      </w:r>
    </w:p>
    <w:p w:rsidR="00D53774" w:rsidRPr="00D53774" w:rsidRDefault="00D53774" w:rsidP="00D53774">
      <w:pPr>
        <w:spacing w:before="100" w:beforeAutospacing="1" w:after="100" w:afterAutospacing="1" w:line="360" w:lineRule="auto"/>
        <w:outlineLvl w:val="2"/>
        <w:rPr>
          <w:rFonts w:ascii="Times New Roman" w:eastAsia="Times New Roman" w:hAnsi="Times New Roman" w:cs="Times New Roman"/>
          <w:b/>
          <w:bCs/>
          <w:kern w:val="0"/>
          <w14:ligatures w14:val="none"/>
        </w:rPr>
      </w:pPr>
      <w:r w:rsidRPr="00D53774">
        <w:rPr>
          <w:rFonts w:ascii="Times New Roman" w:eastAsia="Times New Roman" w:hAnsi="Times New Roman" w:cs="Times New Roman"/>
          <w:b/>
          <w:bCs/>
          <w:kern w:val="0"/>
          <w14:ligatures w14:val="none"/>
        </w:rPr>
        <w:lastRenderedPageBreak/>
        <w:t xml:space="preserve">A. Prinsip </w:t>
      </w:r>
      <w:r w:rsidRPr="00D53774">
        <w:rPr>
          <w:rFonts w:ascii="Times New Roman" w:eastAsia="Times New Roman" w:hAnsi="Times New Roman" w:cs="Times New Roman"/>
          <w:b/>
          <w:bCs/>
          <w:i/>
          <w:iCs/>
          <w:kern w:val="0"/>
          <w14:ligatures w14:val="none"/>
        </w:rPr>
        <w:t>Lex Orandi, Lex Credendi, Lex Vivendi</w:t>
      </w:r>
    </w:p>
    <w:p w:rsidR="00D53774" w:rsidRPr="00D53774" w:rsidRDefault="00D53774" w:rsidP="00D53774">
      <w:pPr>
        <w:spacing w:before="100" w:beforeAutospacing="1" w:after="100" w:afterAutospacing="1" w:line="36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t>Ketiga ungkapan Latin ini menjelaskan bagaimana ibadah memiliki dampak mendalam bagi seluruh kehidupan orang percaya (^3):</w:t>
      </w:r>
    </w:p>
    <w:p w:rsidR="00D53774" w:rsidRPr="00D53774" w:rsidRDefault="00D53774" w:rsidP="00D53774">
      <w:pPr>
        <w:numPr>
          <w:ilvl w:val="0"/>
          <w:numId w:val="38"/>
        </w:numPr>
        <w:spacing w:before="100" w:beforeAutospacing="1" w:after="100" w:afterAutospacing="1" w:line="36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b/>
          <w:bCs/>
          <w:kern w:val="0"/>
          <w14:ligatures w14:val="none"/>
        </w:rPr>
        <w:t>Lex Orandi (Hukum Doa/Ibadah):</w:t>
      </w:r>
      <w:r w:rsidRPr="00D53774">
        <w:rPr>
          <w:rFonts w:ascii="Times New Roman" w:eastAsia="Times New Roman" w:hAnsi="Times New Roman" w:cs="Times New Roman"/>
          <w:kern w:val="0"/>
          <w14:ligatures w14:val="none"/>
        </w:rPr>
        <w:t xml:space="preserve"> Tata cara ibadah, lirik lagu yang dinyanyikan, serta pola doa dan liturgi yang dipraktikkan jemaat secara berulang-ulang membentuk orientasi hati mereka kepada Allah.</w:t>
      </w:r>
    </w:p>
    <w:p w:rsidR="00D53774" w:rsidRPr="00D53774" w:rsidRDefault="00D53774" w:rsidP="00D53774">
      <w:pPr>
        <w:numPr>
          <w:ilvl w:val="0"/>
          <w:numId w:val="38"/>
        </w:numPr>
        <w:spacing w:before="100" w:beforeAutospacing="1" w:after="100" w:afterAutospacing="1" w:line="36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b/>
          <w:bCs/>
          <w:kern w:val="0"/>
          <w14:ligatures w14:val="none"/>
        </w:rPr>
        <w:t>Lex Credendi (Hukum Kepercayaan):</w:t>
      </w:r>
      <w:r w:rsidRPr="00D53774">
        <w:rPr>
          <w:rFonts w:ascii="Times New Roman" w:eastAsia="Times New Roman" w:hAnsi="Times New Roman" w:cs="Times New Roman"/>
          <w:kern w:val="0"/>
          <w14:ligatures w14:val="none"/>
        </w:rPr>
        <w:t xml:space="preserve"> Apa yang sering dinyanyikan, diucapkan, dan didengarkan dalam ibadah akan membentuk teologi, doktrin, serta keyakinan iman jemaat (Kol. 3:16). Lirik lagu pujian yang teologis mendalam berfungsi sebagai benteng pertahanan iman terhadap ajaran sesat.</w:t>
      </w:r>
    </w:p>
    <w:p w:rsidR="00D53774" w:rsidRPr="00D53774" w:rsidRDefault="00D53774" w:rsidP="00D53774">
      <w:pPr>
        <w:numPr>
          <w:ilvl w:val="0"/>
          <w:numId w:val="38"/>
        </w:numPr>
        <w:spacing w:before="100" w:beforeAutospacing="1" w:after="100" w:afterAutospacing="1" w:line="36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b/>
          <w:bCs/>
          <w:kern w:val="0"/>
          <w14:ligatures w14:val="none"/>
        </w:rPr>
        <w:t>Lex Vivendi (Hukum Kehidupan):</w:t>
      </w:r>
      <w:r w:rsidRPr="00D53774">
        <w:rPr>
          <w:rFonts w:ascii="Times New Roman" w:eastAsia="Times New Roman" w:hAnsi="Times New Roman" w:cs="Times New Roman"/>
          <w:kern w:val="0"/>
          <w14:ligatures w14:val="none"/>
        </w:rPr>
        <w:t xml:space="preserve"> Keyakinan iman dan teologi yang dibentuk melalui liturgi ibadah pada akhirnya bermuara pada karakter, etika, dan gaya hidup jemaat di tengah keluarga, tempat kerja, dan masyarakat luas (Yak. 1:22-27).</w:t>
      </w:r>
    </w:p>
    <w:p w:rsidR="00D53774" w:rsidRPr="00D53774" w:rsidRDefault="00D53774" w:rsidP="00D53774">
      <w:pPr>
        <w:spacing w:beforeAutospacing="1" w:after="100" w:afterAutospacing="1" w:line="36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i/>
          <w:iCs/>
          <w:kern w:val="0"/>
          <w14:ligatures w14:val="none"/>
        </w:rPr>
        <w:t>Catatan Teologis:</w:t>
      </w:r>
      <w:r w:rsidRPr="00D53774">
        <w:rPr>
          <w:rFonts w:ascii="Times New Roman" w:eastAsia="Times New Roman" w:hAnsi="Times New Roman" w:cs="Times New Roman"/>
          <w:kern w:val="0"/>
          <w14:ligatures w14:val="none"/>
        </w:rPr>
        <w:t xml:space="preserve"> Lirik lagu dan bentuk liturgi yang disajikan hari ini adalah doktrin dan etika yang akan dijalani jemaat besok di tempat kerja dan keluarga mereka.</w:t>
      </w:r>
    </w:p>
    <w:p w:rsidR="00D53774" w:rsidRPr="00D53774" w:rsidRDefault="00D53774" w:rsidP="00D53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D53774">
        <w:rPr>
          <w:rFonts w:ascii="Courier New" w:eastAsia="Times New Roman" w:hAnsi="Courier New" w:cs="Courier New"/>
          <w:kern w:val="0"/>
          <w:sz w:val="20"/>
          <w:szCs w:val="20"/>
          <w14:ligatures w14:val="none"/>
        </w:rPr>
        <w:t xml:space="preserve">  ┌────────────────┐       ┌────────────────┐       ┌────────────────┐</w:t>
      </w:r>
    </w:p>
    <w:p w:rsidR="00D53774" w:rsidRPr="00D53774" w:rsidRDefault="00D53774" w:rsidP="00D53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D53774">
        <w:rPr>
          <w:rFonts w:ascii="Courier New" w:eastAsia="Times New Roman" w:hAnsi="Courier New" w:cs="Courier New"/>
          <w:kern w:val="0"/>
          <w:sz w:val="20"/>
          <w:szCs w:val="20"/>
          <w14:ligatures w14:val="none"/>
        </w:rPr>
        <w:t xml:space="preserve">  │   LEX ORANDI   │ ────► │  LEX CREDENDI  │ ────► │  LEX VIVENDI   │</w:t>
      </w:r>
    </w:p>
    <w:p w:rsidR="00D53774" w:rsidRPr="00D53774" w:rsidRDefault="00D53774" w:rsidP="00D53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D53774">
        <w:rPr>
          <w:rFonts w:ascii="Courier New" w:eastAsia="Times New Roman" w:hAnsi="Courier New" w:cs="Courier New"/>
          <w:kern w:val="0"/>
          <w:sz w:val="20"/>
          <w:szCs w:val="20"/>
          <w14:ligatures w14:val="none"/>
        </w:rPr>
        <w:t xml:space="preserve">  │ Cara Beribadah │       │ Apa yg Dipercayai│     │ Cara Hidup Sehari-hari│</w:t>
      </w:r>
    </w:p>
    <w:p w:rsidR="00D53774" w:rsidRPr="00D53774" w:rsidRDefault="00D53774" w:rsidP="00D53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D53774">
        <w:rPr>
          <w:rFonts w:ascii="Courier New" w:eastAsia="Times New Roman" w:hAnsi="Courier New" w:cs="Courier New"/>
          <w:kern w:val="0"/>
          <w:sz w:val="20"/>
          <w:szCs w:val="20"/>
          <w14:ligatures w14:val="none"/>
        </w:rPr>
        <w:t xml:space="preserve">  └────────────────┘       └────────────────┘       └────────────────┘</w:t>
      </w:r>
    </w:p>
    <w:p w:rsidR="00D53774" w:rsidRPr="00D53774" w:rsidRDefault="00D53774" w:rsidP="00D53774">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D53774">
        <w:rPr>
          <w:rFonts w:ascii="Times New Roman" w:eastAsia="Times New Roman" w:hAnsi="Times New Roman" w:cs="Times New Roman"/>
          <w:b/>
          <w:bCs/>
          <w:kern w:val="0"/>
          <w14:ligatures w14:val="none"/>
        </w:rPr>
        <w:t>B. Kebebasan Roh Kudus dan Ketertiban Liturgis</w:t>
      </w:r>
    </w:p>
    <w:p w:rsidR="00D53774" w:rsidRPr="00D53774" w:rsidRDefault="00D53774" w:rsidP="00D53774">
      <w:pPr>
        <w:spacing w:before="100" w:beforeAutospacing="1" w:after="100" w:afterAutospacing="1" w:line="36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t>Dalam tradisi Pentakosta-Karismatik maupun ibadah kontemporer, sering timbul ketegangan antara "kebebasan Roh Kudus" (</w:t>
      </w:r>
      <w:r w:rsidRPr="00D53774">
        <w:rPr>
          <w:rFonts w:ascii="Times New Roman" w:eastAsia="Times New Roman" w:hAnsi="Times New Roman" w:cs="Times New Roman"/>
          <w:i/>
          <w:iCs/>
          <w:kern w:val="0"/>
          <w14:ligatures w14:val="none"/>
        </w:rPr>
        <w:t>freedom of the Spirit</w:t>
      </w:r>
      <w:r w:rsidRPr="00D53774">
        <w:rPr>
          <w:rFonts w:ascii="Times New Roman" w:eastAsia="Times New Roman" w:hAnsi="Times New Roman" w:cs="Times New Roman"/>
          <w:kern w:val="0"/>
          <w14:ligatures w14:val="none"/>
        </w:rPr>
        <w:t>) dan "struktur liturgis" (</w:t>
      </w:r>
      <w:r w:rsidRPr="00D53774">
        <w:rPr>
          <w:rFonts w:ascii="Times New Roman" w:eastAsia="Times New Roman" w:hAnsi="Times New Roman" w:cs="Times New Roman"/>
          <w:i/>
          <w:iCs/>
          <w:kern w:val="0"/>
          <w14:ligatures w14:val="none"/>
        </w:rPr>
        <w:t>liturgical order</w:t>
      </w:r>
      <w:r w:rsidRPr="00D53774">
        <w:rPr>
          <w:rFonts w:ascii="Times New Roman" w:eastAsia="Times New Roman" w:hAnsi="Times New Roman" w:cs="Times New Roman"/>
          <w:kern w:val="0"/>
          <w14:ligatures w14:val="none"/>
        </w:rPr>
        <w:t>). Namun, Rasul Paulus secara tegas menasihatkan jemaat di Korintus:</w:t>
      </w:r>
    </w:p>
    <w:p w:rsidR="00D53774" w:rsidRPr="00D53774" w:rsidRDefault="00D53774" w:rsidP="00D53774">
      <w:pPr>
        <w:spacing w:beforeAutospacing="1" w:after="100" w:afterAutospacing="1" w:line="36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i/>
          <w:iCs/>
          <w:kern w:val="0"/>
          <w14:ligatures w14:val="none"/>
        </w:rPr>
        <w:lastRenderedPageBreak/>
        <w:t>"Tetapi segala sesuatu harus berlangsung dengan sopan dan teratur."</w:t>
      </w:r>
      <w:r w:rsidRPr="00D53774">
        <w:rPr>
          <w:rFonts w:ascii="Times New Roman" w:eastAsia="Times New Roman" w:hAnsi="Times New Roman" w:cs="Times New Roman"/>
          <w:kern w:val="0"/>
          <w14:ligatures w14:val="none"/>
        </w:rPr>
        <w:t xml:space="preserve"> (1 Korintus 14:40) (^4)</w:t>
      </w:r>
    </w:p>
    <w:p w:rsidR="00D53774" w:rsidRPr="00D53774" w:rsidRDefault="00D53774" w:rsidP="00D53774">
      <w:pPr>
        <w:spacing w:before="100" w:beforeAutospacing="1" w:after="100" w:afterAutospacing="1" w:line="36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t>Ketertiban liturgis yang dirancang dengan baik tidak membatasi atau memadamkan Roh Kudus (bdk. 1 Tes. 5:19). Sebaliknya, alur ibadah yang jelas, terarah, dan dipersiapkan secara matang justru menyediakan wadah yang aman (</w:t>
      </w:r>
      <w:r w:rsidRPr="00D53774">
        <w:rPr>
          <w:rFonts w:ascii="Times New Roman" w:eastAsia="Times New Roman" w:hAnsi="Times New Roman" w:cs="Times New Roman"/>
          <w:i/>
          <w:iCs/>
          <w:kern w:val="0"/>
          <w14:ligatures w14:val="none"/>
        </w:rPr>
        <w:t>healthy container</w:t>
      </w:r>
      <w:r w:rsidRPr="00D53774">
        <w:rPr>
          <w:rFonts w:ascii="Times New Roman" w:eastAsia="Times New Roman" w:hAnsi="Times New Roman" w:cs="Times New Roman"/>
          <w:kern w:val="0"/>
          <w14:ligatures w14:val="none"/>
        </w:rPr>
        <w:t>) agar karunia-karunia Roh Kudus dapat dimanifestasikan secara tertib, membangun seluruh jemaat, dan menghindarkan ibadah dari kekacauan atau manipulasi emosional semata (1 Kor. 14:12, 26).</w:t>
      </w:r>
    </w:p>
    <w:p w:rsidR="00D53774" w:rsidRPr="00D53774" w:rsidRDefault="00D53774" w:rsidP="00D53774">
      <w:pPr>
        <w:spacing w:before="100" w:beforeAutospacing="1" w:after="100" w:afterAutospacing="1" w:line="240" w:lineRule="auto"/>
        <w:outlineLvl w:val="1"/>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3</w:t>
      </w:r>
      <w:r w:rsidRPr="00D53774">
        <w:rPr>
          <w:rFonts w:ascii="Times New Roman" w:eastAsia="Times New Roman" w:hAnsi="Times New Roman" w:cs="Times New Roman"/>
          <w:b/>
          <w:bCs/>
          <w:kern w:val="0"/>
          <w14:ligatures w14:val="none"/>
        </w:rPr>
        <w:t xml:space="preserve"> Integrasi Pembentukan Karakter Pelayan Ibadah</w:t>
      </w:r>
    </w:p>
    <w:p w:rsidR="00D53774" w:rsidRPr="00D53774" w:rsidRDefault="00D53774" w:rsidP="00D53774">
      <w:pPr>
        <w:spacing w:before="100" w:beforeAutospacing="1" w:after="100" w:afterAutospacing="1" w:line="36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t xml:space="preserve">Seorang pelayan ibadah—baik itu </w:t>
      </w:r>
      <w:r w:rsidRPr="00D53774">
        <w:rPr>
          <w:rFonts w:ascii="Times New Roman" w:eastAsia="Times New Roman" w:hAnsi="Times New Roman" w:cs="Times New Roman"/>
          <w:i/>
          <w:iCs/>
          <w:kern w:val="0"/>
          <w14:ligatures w14:val="none"/>
        </w:rPr>
        <w:t>Worship Leader</w:t>
      </w:r>
      <w:r w:rsidRPr="00D53774">
        <w:rPr>
          <w:rFonts w:ascii="Times New Roman" w:eastAsia="Times New Roman" w:hAnsi="Times New Roman" w:cs="Times New Roman"/>
          <w:kern w:val="0"/>
          <w14:ligatures w14:val="none"/>
        </w:rPr>
        <w:t xml:space="preserve">, pemusik, penyanyi, petugas multimedia, </w:t>
      </w:r>
      <w:r w:rsidRPr="00D53774">
        <w:rPr>
          <w:rFonts w:ascii="Times New Roman" w:eastAsia="Times New Roman" w:hAnsi="Times New Roman" w:cs="Times New Roman"/>
          <w:i/>
          <w:iCs/>
          <w:kern w:val="0"/>
          <w14:ligatures w14:val="none"/>
        </w:rPr>
        <w:t>usher</w:t>
      </w:r>
      <w:r w:rsidRPr="00D53774">
        <w:rPr>
          <w:rFonts w:ascii="Times New Roman" w:eastAsia="Times New Roman" w:hAnsi="Times New Roman" w:cs="Times New Roman"/>
          <w:kern w:val="0"/>
          <w14:ligatures w14:val="none"/>
        </w:rPr>
        <w:t>, maupun pengkhotbah—adalah seorang penggembala di atas panggung (</w:t>
      </w:r>
      <w:r w:rsidRPr="00D53774">
        <w:rPr>
          <w:rFonts w:ascii="Times New Roman" w:eastAsia="Times New Roman" w:hAnsi="Times New Roman" w:cs="Times New Roman"/>
          <w:i/>
          <w:iCs/>
          <w:kern w:val="0"/>
          <w14:ligatures w14:val="none"/>
        </w:rPr>
        <w:t>stage pastor</w:t>
      </w:r>
      <w:r w:rsidRPr="00D53774">
        <w:rPr>
          <w:rFonts w:ascii="Times New Roman" w:eastAsia="Times New Roman" w:hAnsi="Times New Roman" w:cs="Times New Roman"/>
          <w:kern w:val="0"/>
          <w14:ligatures w14:val="none"/>
        </w:rPr>
        <w:t>). Karakter dan spiritualitas pelayan ibadah jauh lebih penting daripada sekadar keahlian teknis musikal atau retorika publik (bdk. 1 Tim. 3:8-13; Mzm. 78:70-72).</w:t>
      </w:r>
    </w:p>
    <w:p w:rsidR="00D53774" w:rsidRPr="00D53774" w:rsidRDefault="00D53774" w:rsidP="00D53774">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D53774">
        <w:rPr>
          <w:rFonts w:ascii="Times New Roman" w:eastAsia="Times New Roman" w:hAnsi="Times New Roman" w:cs="Times New Roman"/>
          <w:b/>
          <w:bCs/>
          <w:kern w:val="0"/>
          <w14:ligatures w14:val="none"/>
        </w:rPr>
        <w:t xml:space="preserve">A. Hati Hamba vs. Mentalitas </w:t>
      </w:r>
      <w:r w:rsidRPr="00D53774">
        <w:rPr>
          <w:rFonts w:ascii="Times New Roman" w:eastAsia="Times New Roman" w:hAnsi="Times New Roman" w:cs="Times New Roman"/>
          <w:b/>
          <w:bCs/>
          <w:i/>
          <w:iCs/>
          <w:kern w:val="0"/>
          <w14:ligatures w14:val="none"/>
        </w:rPr>
        <w:t>Performance-Driven</w:t>
      </w:r>
    </w:p>
    <w:p w:rsidR="00D53774" w:rsidRPr="00D53774" w:rsidRDefault="00D53774" w:rsidP="00D53774">
      <w:pPr>
        <w:spacing w:before="100" w:beforeAutospacing="1" w:after="100" w:afterAutospacing="1" w:line="36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t>Salah satu bahaya terbesar dalam pelayanan ibadah modern adalah pergeseran orientasi dari pelayanan murni (</w:t>
      </w:r>
      <w:r w:rsidRPr="00D53774">
        <w:rPr>
          <w:rFonts w:ascii="Times New Roman" w:eastAsia="Times New Roman" w:hAnsi="Times New Roman" w:cs="Times New Roman"/>
          <w:i/>
          <w:iCs/>
          <w:kern w:val="0"/>
          <w14:ligatures w14:val="none"/>
        </w:rPr>
        <w:t>ministry</w:t>
      </w:r>
      <w:r w:rsidRPr="00D53774">
        <w:rPr>
          <w:rFonts w:ascii="Times New Roman" w:eastAsia="Times New Roman" w:hAnsi="Times New Roman" w:cs="Times New Roman"/>
          <w:kern w:val="0"/>
          <w14:ligatures w14:val="none"/>
        </w:rPr>
        <w:t>) menjadi pertunjukan hiburan (</w:t>
      </w:r>
      <w:r w:rsidRPr="00D53774">
        <w:rPr>
          <w:rFonts w:ascii="Times New Roman" w:eastAsia="Times New Roman" w:hAnsi="Times New Roman" w:cs="Times New Roman"/>
          <w:i/>
          <w:iCs/>
          <w:kern w:val="0"/>
          <w14:ligatures w14:val="none"/>
        </w:rPr>
        <w:t>performance</w:t>
      </w:r>
      <w:r w:rsidRPr="00D53774">
        <w:rPr>
          <w:rFonts w:ascii="Times New Roman" w:eastAsia="Times New Roman" w:hAnsi="Times New Roman" w:cs="Times New Roman"/>
          <w:kern w:val="0"/>
          <w14:ligatures w14:val="none"/>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07"/>
        <w:gridCol w:w="3271"/>
        <w:gridCol w:w="2977"/>
      </w:tblGrid>
      <w:tr w:rsidR="00D53774" w:rsidRPr="00D53774" w:rsidTr="00D53774">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53774" w:rsidRPr="00D53774" w:rsidRDefault="00D53774" w:rsidP="00D53774">
            <w:pPr>
              <w:spacing w:after="480" w:line="24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b/>
                <w:bCs/>
                <w:kern w:val="0"/>
                <w14:ligatures w14:val="none"/>
              </w:rPr>
              <w:t>Dimensi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53774" w:rsidRPr="00D53774" w:rsidRDefault="00D53774" w:rsidP="00D53774">
            <w:pPr>
              <w:spacing w:after="480" w:line="24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b/>
                <w:bCs/>
                <w:kern w:val="0"/>
                <w14:ligatures w14:val="none"/>
              </w:rPr>
              <w:t>Hati Hamba (Servant's Heart)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53774" w:rsidRPr="00D53774" w:rsidRDefault="00D53774" w:rsidP="00D53774">
            <w:pPr>
              <w:spacing w:after="480" w:line="24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b/>
                <w:bCs/>
                <w:kern w:val="0"/>
                <w14:ligatures w14:val="none"/>
              </w:rPr>
              <w:t>Mentalitas Pertunjukan (Performance-Driven)</w:t>
            </w:r>
          </w:p>
        </w:tc>
      </w:tr>
      <w:tr w:rsidR="00D53774" w:rsidRPr="00D53774" w:rsidTr="00D537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53774" w:rsidRPr="00D53774" w:rsidRDefault="00D53774" w:rsidP="00D53774">
            <w:pPr>
              <w:spacing w:after="480" w:line="24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b/>
                <w:bCs/>
                <w:kern w:val="0"/>
                <w14:ligatures w14:val="none"/>
              </w:rPr>
              <w:t>Fokus Utama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53774" w:rsidRPr="00D53774" w:rsidRDefault="00D53774" w:rsidP="00D53774">
            <w:pPr>
              <w:spacing w:after="480" w:line="24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t>Mengarahkan pandangan dan hati jemaat sepenuhnya kepada Kristus (Yoh. 3:30).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53774" w:rsidRPr="00D53774" w:rsidRDefault="00D53774" w:rsidP="00D53774">
            <w:pPr>
              <w:spacing w:after="480" w:line="24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t>Menarik perhatian, pujian, dan tepuk tangan jemaat kepada diri sendiri.</w:t>
            </w:r>
          </w:p>
        </w:tc>
      </w:tr>
      <w:tr w:rsidR="00D53774" w:rsidRPr="00D53774" w:rsidTr="00D537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53774" w:rsidRPr="00D53774" w:rsidRDefault="00D53774" w:rsidP="00D53774">
            <w:pPr>
              <w:spacing w:after="480" w:line="24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b/>
                <w:bCs/>
                <w:kern w:val="0"/>
                <w14:ligatures w14:val="none"/>
              </w:rPr>
              <w:lastRenderedPageBreak/>
              <w:t>Ukuran Keberhasilan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53774" w:rsidRPr="00D53774" w:rsidRDefault="00D53774" w:rsidP="00D53774">
            <w:pPr>
              <w:spacing w:after="480" w:line="24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t>Keheningan yang kudus, pertobatan, dan ketulusan penyembahan jemaat di hadapan Allah.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53774" w:rsidRPr="00D53774" w:rsidRDefault="00D53774" w:rsidP="00D53774">
            <w:pPr>
              <w:spacing w:after="480" w:line="24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t>Tepuk tangan meriah, apresiasi manusia, dan decak kagum atas bakat artistik.</w:t>
            </w:r>
          </w:p>
        </w:tc>
      </w:tr>
      <w:tr w:rsidR="00D53774" w:rsidRPr="00D53774" w:rsidTr="00D537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53774" w:rsidRPr="00D53774" w:rsidRDefault="00D53774" w:rsidP="00D53774">
            <w:pPr>
              <w:spacing w:after="480" w:line="24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b/>
                <w:bCs/>
                <w:kern w:val="0"/>
                <w14:ligatures w14:val="none"/>
              </w:rPr>
              <w:t>Respons terhadap Kritik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53774" w:rsidRPr="00D53774" w:rsidRDefault="00D53774" w:rsidP="00D53774">
            <w:pPr>
              <w:spacing w:after="480" w:line="24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t>Menerima dengan rendah hati, instrospeksi demi perbaikan mutu pelayanan (Ams. 9:8-9).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53774" w:rsidRPr="00D53774" w:rsidRDefault="00D53774" w:rsidP="00D53774">
            <w:pPr>
              <w:spacing w:after="480" w:line="24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t>Merasa tersinggung, membela diri, atau patah semangat dan sakit hati.</w:t>
            </w:r>
          </w:p>
        </w:tc>
      </w:tr>
      <w:tr w:rsidR="00D53774" w:rsidRPr="00D53774" w:rsidTr="00D53774">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53774" w:rsidRPr="00D53774" w:rsidRDefault="00D53774" w:rsidP="00D53774">
            <w:pPr>
              <w:spacing w:after="480" w:line="24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b/>
                <w:bCs/>
                <w:kern w:val="0"/>
                <w14:ligatures w14:val="none"/>
              </w:rPr>
              <w:t>Persiapan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53774" w:rsidRPr="00D53774" w:rsidRDefault="00D53774" w:rsidP="00D53774">
            <w:pPr>
              <w:spacing w:after="480" w:line="24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t>Mengutamakan persekutuan doa, kesucian hidup, dan latihan teknis yang seimbang (Kol. 3:16-17).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53774" w:rsidRPr="00D53774" w:rsidRDefault="00D53774" w:rsidP="00D53774">
            <w:pPr>
              <w:spacing w:after="480" w:line="24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t>Mengutamakan penampilan fisik luar dan kesempurnaan teknis musikal semata.</w:t>
            </w:r>
          </w:p>
        </w:tc>
      </w:tr>
    </w:tbl>
    <w:p w:rsidR="00D53774" w:rsidRPr="00D53774" w:rsidRDefault="00D53774" w:rsidP="00D53774">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D53774">
        <w:rPr>
          <w:rFonts w:ascii="Times New Roman" w:eastAsia="Times New Roman" w:hAnsi="Times New Roman" w:cs="Times New Roman"/>
          <w:b/>
          <w:bCs/>
          <w:kern w:val="0"/>
          <w14:ligatures w14:val="none"/>
        </w:rPr>
        <w:t>B. Kedisiplinan Kehidupan Spiritual Pribadi</w:t>
      </w:r>
    </w:p>
    <w:p w:rsidR="00D53774" w:rsidRPr="00D53774" w:rsidRDefault="00D53774" w:rsidP="00D53774">
      <w:pPr>
        <w:spacing w:before="100" w:beforeAutospacing="1" w:after="100" w:afterAutospacing="1" w:line="36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t>Pelayanan publik yang berdampak rohani lahir dari kedalaman hubungan intim pribadi dengan Tuhan di ruang tersembunyi (</w:t>
      </w:r>
      <w:r w:rsidRPr="00D53774">
        <w:rPr>
          <w:rFonts w:ascii="Times New Roman" w:eastAsia="Times New Roman" w:hAnsi="Times New Roman" w:cs="Times New Roman"/>
          <w:i/>
          <w:iCs/>
          <w:kern w:val="0"/>
          <w14:ligatures w14:val="none"/>
        </w:rPr>
        <w:t>the secret place</w:t>
      </w:r>
      <w:r w:rsidRPr="00D53774">
        <w:rPr>
          <w:rFonts w:ascii="Times New Roman" w:eastAsia="Times New Roman" w:hAnsi="Times New Roman" w:cs="Times New Roman"/>
          <w:kern w:val="0"/>
          <w14:ligatures w14:val="none"/>
        </w:rPr>
        <w:t>) (Mat. 6:6). Seorang pelayan ibadah tidak dapat membawa jemaat ke tempat yang belum pernah ia kunjungi sendiri dalam pengalaman rohaninya bersama Tuhan.</w:t>
      </w:r>
    </w:p>
    <w:p w:rsidR="00D53774" w:rsidRPr="00D53774" w:rsidRDefault="00D53774" w:rsidP="00D53774">
      <w:pPr>
        <w:spacing w:before="100" w:beforeAutospacing="1" w:after="100" w:afterAutospacing="1" w:line="36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t>Pelayan ibadah wajib memelihara kedisiplinan rohani harian yang mencakup:</w:t>
      </w:r>
    </w:p>
    <w:p w:rsidR="00D53774" w:rsidRPr="00D53774" w:rsidRDefault="00D53774" w:rsidP="00D53774">
      <w:pPr>
        <w:numPr>
          <w:ilvl w:val="0"/>
          <w:numId w:val="39"/>
        </w:numPr>
        <w:spacing w:before="100" w:beforeAutospacing="1" w:after="100" w:afterAutospacing="1" w:line="36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b/>
          <w:bCs/>
          <w:kern w:val="0"/>
          <w14:ligatures w14:val="none"/>
        </w:rPr>
        <w:t>Penyelidikan Firman Tuhan (</w:t>
      </w:r>
      <w:r w:rsidRPr="00D53774">
        <w:rPr>
          <w:rFonts w:ascii="Times New Roman" w:eastAsia="Times New Roman" w:hAnsi="Times New Roman" w:cs="Times New Roman"/>
          <w:b/>
          <w:bCs/>
          <w:i/>
          <w:iCs/>
          <w:kern w:val="0"/>
          <w14:ligatures w14:val="none"/>
        </w:rPr>
        <w:t>Lectio Divina</w:t>
      </w:r>
      <w:r w:rsidRPr="00D53774">
        <w:rPr>
          <w:rFonts w:ascii="Times New Roman" w:eastAsia="Times New Roman" w:hAnsi="Times New Roman" w:cs="Times New Roman"/>
          <w:b/>
          <w:bCs/>
          <w:kern w:val="0"/>
          <w14:ligatures w14:val="none"/>
        </w:rPr>
        <w:t>):</w:t>
      </w:r>
      <w:r w:rsidRPr="00D53774">
        <w:rPr>
          <w:rFonts w:ascii="Times New Roman" w:eastAsia="Times New Roman" w:hAnsi="Times New Roman" w:cs="Times New Roman"/>
          <w:kern w:val="0"/>
          <w14:ligatures w14:val="none"/>
        </w:rPr>
        <w:t xml:space="preserve"> Membaca, merenungkan, dan menghidupi Alkitab secara teratur agar motivasi pelayanan tetap dimurnikan oleh kebenaran (Mzm. 119:105; Kol. 3:16).</w:t>
      </w:r>
    </w:p>
    <w:p w:rsidR="00D53774" w:rsidRPr="00D53774" w:rsidRDefault="00D53774" w:rsidP="00D53774">
      <w:pPr>
        <w:numPr>
          <w:ilvl w:val="0"/>
          <w:numId w:val="39"/>
        </w:numPr>
        <w:spacing w:before="100" w:beforeAutospacing="1" w:after="100" w:afterAutospacing="1" w:line="36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b/>
          <w:bCs/>
          <w:kern w:val="0"/>
          <w14:ligatures w14:val="none"/>
        </w:rPr>
        <w:lastRenderedPageBreak/>
        <w:t>Kehidupan Doa dan Penyembahan Pribadi:</w:t>
      </w:r>
      <w:r w:rsidRPr="00D53774">
        <w:rPr>
          <w:rFonts w:ascii="Times New Roman" w:eastAsia="Times New Roman" w:hAnsi="Times New Roman" w:cs="Times New Roman"/>
          <w:kern w:val="0"/>
          <w14:ligatures w14:val="none"/>
        </w:rPr>
        <w:t xml:space="preserve"> Menyembah Tuhan saat tidak ada penonton, panggung, atau sorotan lampu sorot (</w:t>
      </w:r>
      <w:r w:rsidRPr="00D53774">
        <w:rPr>
          <w:rFonts w:ascii="Times New Roman" w:eastAsia="Times New Roman" w:hAnsi="Times New Roman" w:cs="Times New Roman"/>
          <w:i/>
          <w:iCs/>
          <w:kern w:val="0"/>
          <w14:ligatures w14:val="none"/>
        </w:rPr>
        <w:t>spotlight</w:t>
      </w:r>
      <w:r w:rsidRPr="00D53774">
        <w:rPr>
          <w:rFonts w:ascii="Times New Roman" w:eastAsia="Times New Roman" w:hAnsi="Times New Roman" w:cs="Times New Roman"/>
          <w:kern w:val="0"/>
          <w14:ligatures w14:val="none"/>
        </w:rPr>
        <w:t>), membangun keintiman murni dengan Allah (Mzm. 27:4).</w:t>
      </w:r>
    </w:p>
    <w:p w:rsidR="00D53774" w:rsidRPr="00D53774" w:rsidRDefault="00D53774" w:rsidP="00D53774">
      <w:pPr>
        <w:numPr>
          <w:ilvl w:val="0"/>
          <w:numId w:val="39"/>
        </w:numPr>
        <w:spacing w:before="100" w:beforeAutospacing="1" w:after="100" w:afterAutospacing="1" w:line="36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b/>
          <w:bCs/>
          <w:kern w:val="0"/>
          <w14:ligatures w14:val="none"/>
        </w:rPr>
        <w:t>Integritas dan Akuntabilitas Moral:</w:t>
      </w:r>
      <w:r w:rsidRPr="00D53774">
        <w:rPr>
          <w:rFonts w:ascii="Times New Roman" w:eastAsia="Times New Roman" w:hAnsi="Times New Roman" w:cs="Times New Roman"/>
          <w:kern w:val="0"/>
          <w14:ligatures w14:val="none"/>
        </w:rPr>
        <w:t xml:space="preserve"> Menjaga kebersihan hati, kejujuran relasi, dan etika hidup kekristenan di dalam keluarga maupun komunitas gereja lokal (Ams. 4:23; Tit. 2:7-8).</w:t>
      </w:r>
    </w:p>
    <w:p w:rsidR="00D53774" w:rsidRPr="00D53774" w:rsidRDefault="00D53774" w:rsidP="00D53774">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D53774">
        <w:rPr>
          <w:rFonts w:ascii="Times New Roman" w:eastAsia="Times New Roman" w:hAnsi="Times New Roman" w:cs="Times New Roman"/>
          <w:b/>
          <w:bCs/>
          <w:kern w:val="0"/>
          <w14:ligatures w14:val="none"/>
        </w:rPr>
        <w:t>1.4 Ringkasan BAB 1</w:t>
      </w:r>
    </w:p>
    <w:p w:rsidR="00D53774" w:rsidRPr="00D53774" w:rsidRDefault="00D53774" w:rsidP="00D53774">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b/>
          <w:bCs/>
          <w:kern w:val="0"/>
          <w14:ligatures w14:val="none"/>
        </w:rPr>
        <w:t>Hakikat Ibadah:</w:t>
      </w:r>
      <w:r w:rsidRPr="00D53774">
        <w:rPr>
          <w:rFonts w:ascii="Times New Roman" w:eastAsia="Times New Roman" w:hAnsi="Times New Roman" w:cs="Times New Roman"/>
          <w:kern w:val="0"/>
          <w14:ligatures w14:val="none"/>
        </w:rPr>
        <w:t xml:space="preserve"> Ibadah adalah perjumpaan dialogis yang diinisiasi oleh Allah (</w:t>
      </w:r>
      <w:r w:rsidRPr="00D53774">
        <w:rPr>
          <w:rFonts w:ascii="Times New Roman" w:eastAsia="Times New Roman" w:hAnsi="Times New Roman" w:cs="Times New Roman"/>
          <w:i/>
          <w:iCs/>
          <w:kern w:val="0"/>
          <w14:ligatures w14:val="none"/>
        </w:rPr>
        <w:t>divine initiative</w:t>
      </w:r>
      <w:r w:rsidRPr="00D53774">
        <w:rPr>
          <w:rFonts w:ascii="Times New Roman" w:eastAsia="Times New Roman" w:hAnsi="Times New Roman" w:cs="Times New Roman"/>
          <w:kern w:val="0"/>
          <w14:ligatures w14:val="none"/>
        </w:rPr>
        <w:t>) dan direspons oleh manusia (</w:t>
      </w:r>
      <w:r w:rsidRPr="00D53774">
        <w:rPr>
          <w:rFonts w:ascii="Times New Roman" w:eastAsia="Times New Roman" w:hAnsi="Times New Roman" w:cs="Times New Roman"/>
          <w:i/>
          <w:iCs/>
          <w:kern w:val="0"/>
          <w14:ligatures w14:val="none"/>
        </w:rPr>
        <w:t>human response</w:t>
      </w:r>
      <w:r w:rsidRPr="00D53774">
        <w:rPr>
          <w:rFonts w:ascii="Times New Roman" w:eastAsia="Times New Roman" w:hAnsi="Times New Roman" w:cs="Times New Roman"/>
          <w:kern w:val="0"/>
          <w14:ligatures w14:val="none"/>
        </w:rPr>
        <w:t>); pusat dari seluruh rangkaian ibadah haruslah Yesus Kristus (</w:t>
      </w:r>
      <w:r w:rsidRPr="00D53774">
        <w:rPr>
          <w:rFonts w:ascii="Times New Roman" w:eastAsia="Times New Roman" w:hAnsi="Times New Roman" w:cs="Times New Roman"/>
          <w:i/>
          <w:iCs/>
          <w:kern w:val="0"/>
          <w14:ligatures w14:val="none"/>
        </w:rPr>
        <w:t>Christocentric</w:t>
      </w:r>
      <w:r w:rsidRPr="00D53774">
        <w:rPr>
          <w:rFonts w:ascii="Times New Roman" w:eastAsia="Times New Roman" w:hAnsi="Times New Roman" w:cs="Times New Roman"/>
          <w:kern w:val="0"/>
          <w14:ligatures w14:val="none"/>
        </w:rPr>
        <w:t>).</w:t>
      </w:r>
    </w:p>
    <w:p w:rsidR="00D53774" w:rsidRPr="00D53774" w:rsidRDefault="00D53774" w:rsidP="00D53774">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b/>
          <w:bCs/>
          <w:kern w:val="0"/>
          <w14:ligatures w14:val="none"/>
        </w:rPr>
        <w:t>Liturgi &amp; Pembentukan Kerohanian:</w:t>
      </w:r>
      <w:r w:rsidRPr="00D53774">
        <w:rPr>
          <w:rFonts w:ascii="Times New Roman" w:eastAsia="Times New Roman" w:hAnsi="Times New Roman" w:cs="Times New Roman"/>
          <w:kern w:val="0"/>
          <w14:ligatures w14:val="none"/>
        </w:rPr>
        <w:t xml:space="preserve"> Liturgi bukan sekadar urutan acara, melainkan sarana pembentukan kerohanian (</w:t>
      </w:r>
      <w:r w:rsidRPr="00D53774">
        <w:rPr>
          <w:rFonts w:ascii="Times New Roman" w:eastAsia="Times New Roman" w:hAnsi="Times New Roman" w:cs="Times New Roman"/>
          <w:i/>
          <w:iCs/>
          <w:kern w:val="0"/>
          <w14:ligatures w14:val="none"/>
        </w:rPr>
        <w:t>spiritual formation</w:t>
      </w:r>
      <w:r w:rsidRPr="00D53774">
        <w:rPr>
          <w:rFonts w:ascii="Times New Roman" w:eastAsia="Times New Roman" w:hAnsi="Times New Roman" w:cs="Times New Roman"/>
          <w:kern w:val="0"/>
          <w14:ligatures w14:val="none"/>
        </w:rPr>
        <w:t>) yang menyatukan pola doa, keyakinan doktrin, dan gaya hidup jemaat (</w:t>
      </w:r>
      <w:r w:rsidRPr="00D53774">
        <w:rPr>
          <w:rFonts w:ascii="Times New Roman" w:eastAsia="Times New Roman" w:hAnsi="Times New Roman" w:cs="Times New Roman"/>
          <w:i/>
          <w:iCs/>
          <w:kern w:val="0"/>
          <w14:ligatures w14:val="none"/>
        </w:rPr>
        <w:t>Lex Orandi, Lex Credendi, Lex Vivendi</w:t>
      </w:r>
      <w:r w:rsidRPr="00D53774">
        <w:rPr>
          <w:rFonts w:ascii="Times New Roman" w:eastAsia="Times New Roman" w:hAnsi="Times New Roman" w:cs="Times New Roman"/>
          <w:kern w:val="0"/>
          <w14:ligatures w14:val="none"/>
        </w:rPr>
        <w:t>).</w:t>
      </w:r>
    </w:p>
    <w:p w:rsidR="00D53774" w:rsidRPr="00D53774" w:rsidRDefault="00D53774" w:rsidP="00D53774">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b/>
          <w:bCs/>
          <w:kern w:val="0"/>
          <w14:ligatures w14:val="none"/>
        </w:rPr>
        <w:t>Ketertiban &amp; Roh Kudus:</w:t>
      </w:r>
      <w:r w:rsidRPr="00D53774">
        <w:rPr>
          <w:rFonts w:ascii="Times New Roman" w:eastAsia="Times New Roman" w:hAnsi="Times New Roman" w:cs="Times New Roman"/>
          <w:kern w:val="0"/>
          <w14:ligatures w14:val="none"/>
        </w:rPr>
        <w:t xml:space="preserve"> Struktur liturgis dan kebebasan Roh Kudus berjalan beriringan secara harmonis; ketertiban rohani menyediakan wadah yang aman bagi manifestasi karunia Roh Kudus untuk membangun jemaat.</w:t>
      </w:r>
    </w:p>
    <w:p w:rsidR="00D53774" w:rsidRPr="00D53774" w:rsidRDefault="00D53774" w:rsidP="00D53774">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b/>
          <w:bCs/>
          <w:kern w:val="0"/>
          <w14:ligatures w14:val="none"/>
        </w:rPr>
        <w:t>Karakter Pelayan Ibadah:</w:t>
      </w:r>
      <w:r w:rsidRPr="00D53774">
        <w:rPr>
          <w:rFonts w:ascii="Times New Roman" w:eastAsia="Times New Roman" w:hAnsi="Times New Roman" w:cs="Times New Roman"/>
          <w:kern w:val="0"/>
          <w14:ligatures w14:val="none"/>
        </w:rPr>
        <w:t xml:space="preserve"> Karakter rohani melampaui talenta teknis; seorang pelayan ibadah dipanggil untuk memiliki hati hamba (</w:t>
      </w:r>
      <w:r w:rsidRPr="00D53774">
        <w:rPr>
          <w:rFonts w:ascii="Times New Roman" w:eastAsia="Times New Roman" w:hAnsi="Times New Roman" w:cs="Times New Roman"/>
          <w:i/>
          <w:iCs/>
          <w:kern w:val="0"/>
          <w14:ligatures w14:val="none"/>
        </w:rPr>
        <w:t>servant's heart</w:t>
      </w:r>
      <w:r w:rsidRPr="00D53774">
        <w:rPr>
          <w:rFonts w:ascii="Times New Roman" w:eastAsia="Times New Roman" w:hAnsi="Times New Roman" w:cs="Times New Roman"/>
          <w:kern w:val="0"/>
          <w14:ligatures w14:val="none"/>
        </w:rPr>
        <w:t>) dan kedisiplinan doa pribadi demi menghindari jebakan budaya pertunjukan (</w:t>
      </w:r>
      <w:r w:rsidRPr="00D53774">
        <w:rPr>
          <w:rFonts w:ascii="Times New Roman" w:eastAsia="Times New Roman" w:hAnsi="Times New Roman" w:cs="Times New Roman"/>
          <w:i/>
          <w:iCs/>
          <w:kern w:val="0"/>
          <w14:ligatures w14:val="none"/>
        </w:rPr>
        <w:t>performance-driven culture</w:t>
      </w:r>
      <w:r w:rsidRPr="00D53774">
        <w:rPr>
          <w:rFonts w:ascii="Times New Roman" w:eastAsia="Times New Roman" w:hAnsi="Times New Roman" w:cs="Times New Roman"/>
          <w:kern w:val="0"/>
          <w14:ligatures w14:val="none"/>
        </w:rPr>
        <w:t>).</w:t>
      </w:r>
    </w:p>
    <w:p w:rsidR="00D53774" w:rsidRPr="00D53774" w:rsidRDefault="00D53774" w:rsidP="00D53774">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D53774">
        <w:rPr>
          <w:rFonts w:ascii="Times New Roman" w:eastAsia="Times New Roman" w:hAnsi="Times New Roman" w:cs="Times New Roman"/>
          <w:b/>
          <w:bCs/>
          <w:kern w:val="0"/>
          <w14:ligatures w14:val="none"/>
        </w:rPr>
        <w:t>Catatan Kaki</w:t>
      </w:r>
    </w:p>
    <w:p w:rsidR="00D53774" w:rsidRPr="00D53774" w:rsidRDefault="00D53774" w:rsidP="00D53774">
      <w:pPr>
        <w:numPr>
          <w:ilvl w:val="0"/>
          <w:numId w:val="41"/>
        </w:numPr>
        <w:spacing w:before="100" w:beforeAutospacing="1" w:after="100" w:afterAutospacing="1" w:line="24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t xml:space="preserve">G. Campbell Morgan, </w:t>
      </w:r>
      <w:r w:rsidRPr="00D53774">
        <w:rPr>
          <w:rFonts w:ascii="Times New Roman" w:eastAsia="Times New Roman" w:hAnsi="Times New Roman" w:cs="Times New Roman"/>
          <w:i/>
          <w:iCs/>
          <w:kern w:val="0"/>
          <w14:ligatures w14:val="none"/>
        </w:rPr>
        <w:t>Worship: Its Purpose and Meaning</w:t>
      </w:r>
      <w:r w:rsidRPr="00D53774">
        <w:rPr>
          <w:rFonts w:ascii="Times New Roman" w:eastAsia="Times New Roman" w:hAnsi="Times New Roman" w:cs="Times New Roman"/>
          <w:kern w:val="0"/>
          <w14:ligatures w14:val="none"/>
        </w:rPr>
        <w:t xml:space="preserve"> (Grand Rapids: Baker Book House, 1993), hlm. 15-22.</w:t>
      </w:r>
    </w:p>
    <w:p w:rsidR="00D53774" w:rsidRPr="00D53774" w:rsidRDefault="00D53774" w:rsidP="00D53774">
      <w:pPr>
        <w:numPr>
          <w:ilvl w:val="0"/>
          <w:numId w:val="41"/>
        </w:numPr>
        <w:spacing w:before="100" w:beforeAutospacing="1" w:after="100" w:afterAutospacing="1" w:line="24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t xml:space="preserve">Robert E. Webber, </w:t>
      </w:r>
      <w:r w:rsidRPr="00D53774">
        <w:rPr>
          <w:rFonts w:ascii="Times New Roman" w:eastAsia="Times New Roman" w:hAnsi="Times New Roman" w:cs="Times New Roman"/>
          <w:i/>
          <w:iCs/>
          <w:kern w:val="0"/>
          <w14:ligatures w14:val="none"/>
        </w:rPr>
        <w:t>Common Roots: A Call to Evangelical Liturgy</w:t>
      </w:r>
      <w:r w:rsidRPr="00D53774">
        <w:rPr>
          <w:rFonts w:ascii="Times New Roman" w:eastAsia="Times New Roman" w:hAnsi="Times New Roman" w:cs="Times New Roman"/>
          <w:kern w:val="0"/>
          <w14:ligatures w14:val="none"/>
        </w:rPr>
        <w:t xml:space="preserve"> (Grand Rapids: Baker Academic, 2009), hlm. 45.</w:t>
      </w:r>
    </w:p>
    <w:p w:rsidR="00D53774" w:rsidRPr="00D53774" w:rsidRDefault="00D53774" w:rsidP="00D53774">
      <w:pPr>
        <w:numPr>
          <w:ilvl w:val="0"/>
          <w:numId w:val="41"/>
        </w:numPr>
        <w:spacing w:before="100" w:beforeAutospacing="1" w:after="100" w:afterAutospacing="1" w:line="24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t xml:space="preserve">James F. White, </w:t>
      </w:r>
      <w:r w:rsidRPr="00D53774">
        <w:rPr>
          <w:rFonts w:ascii="Times New Roman" w:eastAsia="Times New Roman" w:hAnsi="Times New Roman" w:cs="Times New Roman"/>
          <w:i/>
          <w:iCs/>
          <w:kern w:val="0"/>
          <w14:ligatures w14:val="none"/>
        </w:rPr>
        <w:t>Introduction to Christian Worship</w:t>
      </w:r>
      <w:r w:rsidRPr="00D53774">
        <w:rPr>
          <w:rFonts w:ascii="Times New Roman" w:eastAsia="Times New Roman" w:hAnsi="Times New Roman" w:cs="Times New Roman"/>
          <w:kern w:val="0"/>
          <w14:ligatures w14:val="none"/>
        </w:rPr>
        <w:t xml:space="preserve"> (Nashville: Abingdon Press, 2000), hlm. 28-31.</w:t>
      </w:r>
    </w:p>
    <w:p w:rsidR="00D53774" w:rsidRPr="00D53774" w:rsidRDefault="00D53774" w:rsidP="00D53774">
      <w:pPr>
        <w:numPr>
          <w:ilvl w:val="0"/>
          <w:numId w:val="41"/>
        </w:numPr>
        <w:spacing w:before="100" w:beforeAutospacing="1" w:after="100" w:afterAutospacing="1" w:line="240" w:lineRule="auto"/>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t xml:space="preserve">Gordon D. Fee, </w:t>
      </w:r>
      <w:r w:rsidRPr="00D53774">
        <w:rPr>
          <w:rFonts w:ascii="Times New Roman" w:eastAsia="Times New Roman" w:hAnsi="Times New Roman" w:cs="Times New Roman"/>
          <w:i/>
          <w:iCs/>
          <w:kern w:val="0"/>
          <w14:ligatures w14:val="none"/>
        </w:rPr>
        <w:t>The First Epistle to the Corinthians</w:t>
      </w:r>
      <w:r w:rsidRPr="00D53774">
        <w:rPr>
          <w:rFonts w:ascii="Times New Roman" w:eastAsia="Times New Roman" w:hAnsi="Times New Roman" w:cs="Times New Roman"/>
          <w:kern w:val="0"/>
          <w14:ligatures w14:val="none"/>
        </w:rPr>
        <w:t xml:space="preserve"> (Grand Rapids: Wm. B. Eerdmans Publishing Co., 1987), hlm. 705-708.</w:t>
      </w:r>
    </w:p>
    <w:p w:rsidR="00D53774" w:rsidRPr="00D53774" w:rsidRDefault="00D53774" w:rsidP="00D53774">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D53774">
        <w:rPr>
          <w:rFonts w:ascii="Times New Roman" w:eastAsia="Times New Roman" w:hAnsi="Times New Roman" w:cs="Times New Roman"/>
          <w:b/>
          <w:bCs/>
          <w:kern w:val="0"/>
          <w14:ligatures w14:val="none"/>
        </w:rPr>
        <w:t>Daftar Pustaka</w:t>
      </w:r>
    </w:p>
    <w:p w:rsidR="00D53774" w:rsidRPr="00D53774" w:rsidRDefault="00D53774" w:rsidP="00D53774">
      <w:pPr>
        <w:spacing w:before="100" w:beforeAutospacing="1" w:after="100" w:afterAutospacing="1" w:line="240" w:lineRule="auto"/>
        <w:ind w:left="720"/>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t xml:space="preserve">Fee, Gordon D. </w:t>
      </w:r>
      <w:r w:rsidRPr="00D53774">
        <w:rPr>
          <w:rFonts w:ascii="Times New Roman" w:eastAsia="Times New Roman" w:hAnsi="Times New Roman" w:cs="Times New Roman"/>
          <w:i/>
          <w:iCs/>
          <w:kern w:val="0"/>
          <w14:ligatures w14:val="none"/>
        </w:rPr>
        <w:t>The First Epistle to the Corinthians</w:t>
      </w:r>
      <w:r w:rsidRPr="00D53774">
        <w:rPr>
          <w:rFonts w:ascii="Times New Roman" w:eastAsia="Times New Roman" w:hAnsi="Times New Roman" w:cs="Times New Roman"/>
          <w:kern w:val="0"/>
          <w14:ligatures w14:val="none"/>
        </w:rPr>
        <w:t>. Grand Rapids: Wm. B. Eerdmans Publishing Co., 1987.</w:t>
      </w:r>
    </w:p>
    <w:p w:rsidR="00D53774" w:rsidRPr="00D53774" w:rsidRDefault="00D53774" w:rsidP="00D53774">
      <w:pPr>
        <w:spacing w:before="100" w:beforeAutospacing="1" w:after="100" w:afterAutospacing="1" w:line="240" w:lineRule="auto"/>
        <w:ind w:left="720"/>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lastRenderedPageBreak/>
        <w:t xml:space="preserve">Morgan, G. Campbell. </w:t>
      </w:r>
      <w:r w:rsidRPr="00D53774">
        <w:rPr>
          <w:rFonts w:ascii="Times New Roman" w:eastAsia="Times New Roman" w:hAnsi="Times New Roman" w:cs="Times New Roman"/>
          <w:i/>
          <w:iCs/>
          <w:kern w:val="0"/>
          <w14:ligatures w14:val="none"/>
        </w:rPr>
        <w:t>Worship: Its Purpose and Meaning</w:t>
      </w:r>
      <w:r w:rsidRPr="00D53774">
        <w:rPr>
          <w:rFonts w:ascii="Times New Roman" w:eastAsia="Times New Roman" w:hAnsi="Times New Roman" w:cs="Times New Roman"/>
          <w:kern w:val="0"/>
          <w14:ligatures w14:val="none"/>
        </w:rPr>
        <w:t>. Grand Rapids: Baker Book House, 1993.</w:t>
      </w:r>
    </w:p>
    <w:p w:rsidR="00D53774" w:rsidRPr="00D53774" w:rsidRDefault="00D53774" w:rsidP="00D53774">
      <w:pPr>
        <w:spacing w:before="100" w:beforeAutospacing="1" w:after="100" w:afterAutospacing="1" w:line="240" w:lineRule="auto"/>
        <w:ind w:left="720"/>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t xml:space="preserve">Webber, Robert E. </w:t>
      </w:r>
      <w:r w:rsidRPr="00D53774">
        <w:rPr>
          <w:rFonts w:ascii="Times New Roman" w:eastAsia="Times New Roman" w:hAnsi="Times New Roman" w:cs="Times New Roman"/>
          <w:i/>
          <w:iCs/>
          <w:kern w:val="0"/>
          <w14:ligatures w14:val="none"/>
        </w:rPr>
        <w:t>Common Roots: A Call to Evangelical Liturgy</w:t>
      </w:r>
      <w:r w:rsidRPr="00D53774">
        <w:rPr>
          <w:rFonts w:ascii="Times New Roman" w:eastAsia="Times New Roman" w:hAnsi="Times New Roman" w:cs="Times New Roman"/>
          <w:kern w:val="0"/>
          <w14:ligatures w14:val="none"/>
        </w:rPr>
        <w:t>. Grand Rapids: Baker Academic, 2009.</w:t>
      </w:r>
    </w:p>
    <w:p w:rsidR="00D53774" w:rsidRPr="00D53774" w:rsidRDefault="00D53774" w:rsidP="00D53774">
      <w:pPr>
        <w:spacing w:before="100" w:beforeAutospacing="1" w:after="100" w:afterAutospacing="1" w:line="240" w:lineRule="auto"/>
        <w:ind w:left="720"/>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t xml:space="preserve">White, James F. </w:t>
      </w:r>
      <w:r w:rsidRPr="00D53774">
        <w:rPr>
          <w:rFonts w:ascii="Times New Roman" w:eastAsia="Times New Roman" w:hAnsi="Times New Roman" w:cs="Times New Roman"/>
          <w:i/>
          <w:iCs/>
          <w:kern w:val="0"/>
          <w14:ligatures w14:val="none"/>
        </w:rPr>
        <w:t>Introduction to Christian Worship</w:t>
      </w:r>
      <w:r w:rsidRPr="00D53774">
        <w:rPr>
          <w:rFonts w:ascii="Times New Roman" w:eastAsia="Times New Roman" w:hAnsi="Times New Roman" w:cs="Times New Roman"/>
          <w:kern w:val="0"/>
          <w14:ligatures w14:val="none"/>
        </w:rPr>
        <w:t>. Nashville: Abingdon Press, 2000.</w:t>
      </w:r>
    </w:p>
    <w:p w:rsidR="00D53774" w:rsidRPr="00D53774" w:rsidRDefault="00D53774" w:rsidP="00D53774">
      <w:pPr>
        <w:spacing w:before="100" w:beforeAutospacing="1" w:after="100" w:afterAutospacing="1" w:line="240" w:lineRule="auto"/>
        <w:ind w:left="720"/>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t xml:space="preserve">Stott, John R.W. </w:t>
      </w:r>
      <w:r w:rsidRPr="00D53774">
        <w:rPr>
          <w:rFonts w:ascii="Times New Roman" w:eastAsia="Times New Roman" w:hAnsi="Times New Roman" w:cs="Times New Roman"/>
          <w:i/>
          <w:iCs/>
          <w:kern w:val="0"/>
          <w14:ligatures w14:val="none"/>
        </w:rPr>
        <w:t>The Message of Romans</w:t>
      </w:r>
      <w:r w:rsidRPr="00D53774">
        <w:rPr>
          <w:rFonts w:ascii="Times New Roman" w:eastAsia="Times New Roman" w:hAnsi="Times New Roman" w:cs="Times New Roman"/>
          <w:kern w:val="0"/>
          <w14:ligatures w14:val="none"/>
        </w:rPr>
        <w:t>. Leicester: Inter-Varsity Press, 1994.</w:t>
      </w:r>
    </w:p>
    <w:p w:rsidR="00D53774" w:rsidRPr="00D53774" w:rsidRDefault="00D53774" w:rsidP="00D53774">
      <w:pPr>
        <w:spacing w:before="100" w:beforeAutospacing="1" w:after="100" w:afterAutospacing="1" w:line="240" w:lineRule="auto"/>
        <w:ind w:left="720"/>
        <w:rPr>
          <w:rFonts w:ascii="Times New Roman" w:eastAsia="Times New Roman" w:hAnsi="Times New Roman" w:cs="Times New Roman"/>
          <w:kern w:val="0"/>
          <w14:ligatures w14:val="none"/>
        </w:rPr>
      </w:pPr>
      <w:r w:rsidRPr="00D53774">
        <w:rPr>
          <w:rFonts w:ascii="Times New Roman" w:eastAsia="Times New Roman" w:hAnsi="Times New Roman" w:cs="Times New Roman"/>
          <w:kern w:val="0"/>
          <w14:ligatures w14:val="none"/>
        </w:rPr>
        <w:t xml:space="preserve">Yong, Amos. </w:t>
      </w:r>
      <w:r w:rsidRPr="00D53774">
        <w:rPr>
          <w:rFonts w:ascii="Times New Roman" w:eastAsia="Times New Roman" w:hAnsi="Times New Roman" w:cs="Times New Roman"/>
          <w:i/>
          <w:iCs/>
          <w:kern w:val="0"/>
          <w14:ligatures w14:val="none"/>
        </w:rPr>
        <w:t>The Spirit Poured Out on All Flesh: Pentecostalism and the Possibility of Global Theology</w:t>
      </w:r>
      <w:r w:rsidRPr="00D53774">
        <w:rPr>
          <w:rFonts w:ascii="Times New Roman" w:eastAsia="Times New Roman" w:hAnsi="Times New Roman" w:cs="Times New Roman"/>
          <w:kern w:val="0"/>
          <w14:ligatures w14:val="none"/>
        </w:rPr>
        <w:t>. Grand Rapids: Baker Academic, 2005.</w:t>
      </w:r>
    </w:p>
    <w:p w:rsidR="009C35A1" w:rsidRDefault="009C35A1" w:rsidP="00AF4A7C">
      <w:pPr>
        <w:pStyle w:val="Heading1"/>
      </w:pPr>
    </w:p>
    <w:p w:rsidR="009C35A1" w:rsidRDefault="009C35A1" w:rsidP="00AF4A7C">
      <w:pPr>
        <w:pStyle w:val="Heading1"/>
      </w:pPr>
    </w:p>
    <w:p w:rsidR="009C35A1" w:rsidRDefault="009C35A1" w:rsidP="00AF4A7C">
      <w:pPr>
        <w:pStyle w:val="Heading1"/>
      </w:pPr>
    </w:p>
    <w:p w:rsidR="009C35A1" w:rsidRDefault="009C35A1" w:rsidP="00AF4A7C">
      <w:pPr>
        <w:pStyle w:val="Heading1"/>
      </w:pPr>
    </w:p>
    <w:p w:rsidR="009C35A1" w:rsidRDefault="009C35A1" w:rsidP="00AF4A7C">
      <w:pPr>
        <w:pStyle w:val="Heading1"/>
      </w:pPr>
    </w:p>
    <w:p w:rsidR="009C35A1" w:rsidRDefault="009C35A1" w:rsidP="00AF4A7C">
      <w:pPr>
        <w:pStyle w:val="Heading1"/>
      </w:pPr>
    </w:p>
    <w:p w:rsidR="009C35A1" w:rsidRDefault="009C35A1" w:rsidP="00AF4A7C">
      <w:pPr>
        <w:pStyle w:val="Heading1"/>
      </w:pPr>
    </w:p>
    <w:p w:rsidR="009C35A1" w:rsidRDefault="009C35A1" w:rsidP="00AF4A7C">
      <w:pPr>
        <w:pStyle w:val="Heading1"/>
      </w:pPr>
    </w:p>
    <w:p w:rsidR="00D53774" w:rsidRDefault="00D53774" w:rsidP="00AF4A7C">
      <w:pPr>
        <w:pStyle w:val="Heading1"/>
      </w:pPr>
    </w:p>
    <w:p w:rsidR="00D53774" w:rsidRDefault="00D53774" w:rsidP="00AF4A7C">
      <w:pPr>
        <w:pStyle w:val="Heading1"/>
      </w:pPr>
    </w:p>
    <w:p w:rsidR="00D53774" w:rsidRDefault="00D53774" w:rsidP="00AF4A7C">
      <w:pPr>
        <w:pStyle w:val="Heading1"/>
      </w:pPr>
    </w:p>
    <w:p w:rsidR="00D53774" w:rsidRPr="00C67EDD" w:rsidRDefault="00D53774" w:rsidP="00D53774">
      <w:pPr>
        <w:spacing w:before="800"/>
        <w:jc w:val="center"/>
      </w:pPr>
      <w:r w:rsidRPr="00C67EDD">
        <w:rPr>
          <w:rFonts w:ascii="Times New Roman" w:hAnsi="Times New Roman"/>
          <w:b/>
        </w:rPr>
        <w:t>BAB II</w:t>
      </w:r>
      <w:r w:rsidRPr="00C67EDD">
        <w:rPr>
          <w:rFonts w:ascii="Times New Roman" w:hAnsi="Times New Roman"/>
          <w:b/>
        </w:rPr>
        <w:br/>
        <w:t>STRUKTUR LITURGI DAN PERENCANAAN PERIBADATAN</w:t>
      </w:r>
    </w:p>
    <w:p w:rsidR="00D53774" w:rsidRPr="00C67EDD" w:rsidRDefault="00D53774" w:rsidP="00D53774">
      <w:pPr>
        <w:jc w:val="center"/>
      </w:pPr>
      <w:r w:rsidRPr="00C67EDD">
        <w:rPr>
          <w:rFonts w:ascii="Times New Roman" w:hAnsi="Times New Roman"/>
          <w:b/>
        </w:rPr>
        <w:t>Dalam Tradisi Pentakostal-Kharismatik</w:t>
      </w:r>
    </w:p>
    <w:p w:rsidR="00D53774" w:rsidRDefault="00D53774" w:rsidP="00D53774">
      <w:r>
        <w:t>1 Hakikat Ibadah dalam Tradisi Pentakostal-Kharismatik</w:t>
      </w:r>
    </w:p>
    <w:p w:rsidR="00D53774" w:rsidRDefault="00D53774" w:rsidP="00D53774">
      <w:pPr>
        <w:ind w:firstLine="709"/>
      </w:pPr>
      <w:r>
        <w:t>Ibadah merupakan tindakan umat percaya untuk merespons Allah yang lebih dahulu menyatakan diri, kasih, dan karya keselamatan-Nya. Oleh sebab itu, ibadah tidak dapat dipersempit menjadi kegiatan bernyanyi, mendengarkan khotbah, atau mengikuti susunan acara pada hari Minggu. Ibadah mencakup seluruh kehidupan manusia yang diarahkan kepada Allah. Roma 12:1 menyebut penyerahan tubuh sebagai persembahan yang hidup, kudus, dan berkenan kepada Allah. Dalam konteks Roma 12, Paulus menghubungkan kemurahan Allah yang dijelaskan sebelumnya dengan kehidupan yang diperbarui. Dengan demikian, ibadah bersama di gereja seharusnya membentuk cara hidup umat di luar gedung gereja.</w:t>
      </w:r>
    </w:p>
    <w:p w:rsidR="00D53774" w:rsidRDefault="00D53774" w:rsidP="00D53774">
      <w:pPr>
        <w:ind w:firstLine="709"/>
      </w:pPr>
      <w:r>
        <w:t>Dalam tradisi Pentakostal-Kharismatik, ibadah menekankan pengalaman akan kehadiran dan karya Roh Kudus, keterlibatan jemaat, pujian dan penyembahan, doa, kesaksian, serta penggunaan karunia-karunia Roh. Penekanan ini tidak berarti bahwa pengalaman emosional menjadi ukuran utama kehadiran Allah. Pengalaman rohani perlu diuji melalui kesaksian Alkitab, pengakuan kepada Kristus, buah kehidupan, dan pembangunan jemaat. Allan Anderson menjelaskan bahwa Pentakostalisme berkembang sebagai gerakan Kristen global yang memiliki keragaman sejarah, budaya, dan ekspresi teologis. Karena itu, praktik ibadah Pentakostal di satu wilayah tidak dapat dianggap mewakili seluruh gereja Pentakostal di dunia.¹</w:t>
      </w:r>
    </w:p>
    <w:p w:rsidR="00D53774" w:rsidRDefault="00D53774" w:rsidP="00D53774">
      <w:pPr>
        <w:ind w:firstLine="709"/>
      </w:pPr>
      <w:r>
        <w:t>Hakikat ibadah juga bersifat komunal. Jemaat bukan penonton yang hanya menyaksikan pemimpin pujian, pemusik, atau pengkhotbah. Menurut 1 Korintus 12, setiap anggota menerima karunia yang berbeda untuk kepentingan bersama. Karena itu, partisipasi jemaat harus dipahami sebagai bagian dari kehidupan tubuh Kristus. Musik dan tata panggung dapat membantu pelayanan, tetapi tidak boleh mengambil alih tujuan ibadah, yaitu memuliakan Allah dan membangun umat.</w:t>
      </w:r>
    </w:p>
    <w:p w:rsidR="00D53774" w:rsidRPr="00C67EDD" w:rsidRDefault="00D53774" w:rsidP="00D53774">
      <w:pPr>
        <w:pStyle w:val="Heading2"/>
        <w:rPr>
          <w:sz w:val="24"/>
        </w:rPr>
      </w:pPr>
      <w:r w:rsidRPr="00C67EDD">
        <w:rPr>
          <w:sz w:val="24"/>
        </w:rPr>
        <w:t>1.1 Ibadah sebagai Respons kepada Allah Tritunggal</w:t>
      </w:r>
    </w:p>
    <w:p w:rsidR="00D53774" w:rsidRDefault="00D53774" w:rsidP="00D53774">
      <w:pPr>
        <w:ind w:firstLine="709"/>
      </w:pPr>
      <w:r>
        <w:lastRenderedPageBreak/>
        <w:t>Secara teologis, ibadah Kristen berpusat pada Allah Tritunggal: kepada Bapa, melalui Anak, dan di dalam Roh Kudus. Yohanes 4:23–24 menegaskan bahwa penyembah benar menyembah Bapa dalam roh dan kebenaran. Ungkapan ini tidak boleh ditafsirkan hanya sebagai ibadah yang spontan atau tanpa tata cara. Penyembahan dalam roh dan kebenaran menunjuk pada penyembahan yang dimungkinkan oleh karya Allah dan berlangsung sesuai penyataan-Nya. Melalui Kristus, orang percaya memperoleh jalan untuk datang kepada Bapa (Ef. 2:18; Ibr. 10:19–22), sedangkan Roh Kudus menolong dan memampukan umat untuk berdoa serta beribadah (Rm. 8:26; Flp. 3:3).</w:t>
      </w:r>
      <w:r>
        <w:rPr>
          <w:sz w:val="16"/>
          <w:vertAlign w:val="superscript"/>
        </w:rPr>
        <w:t>7</w:t>
      </w:r>
    </w:p>
    <w:p w:rsidR="00D53774" w:rsidRDefault="00D53774" w:rsidP="00D53774">
      <w:pPr>
        <w:ind w:firstLine="709"/>
      </w:pPr>
      <w:r>
        <w:t>Landasan Trinitaris ini menjaga agar ibadah tidak berpusat pada manusia atau pengalaman tertentu. Pemimpin ibadah bukan pusat perjumpaan, melainkan pelayan yang menolong jemaat mengarahkan perhatian kepada Allah. Pengalaman rohani, nyanyian, doa, dan pemberitaan Firman memiliki tempat penting sejauh semuanya menyatakan karya Allah dan membawa jemaat kepada ketaatan.</w:t>
      </w:r>
    </w:p>
    <w:p w:rsidR="00D53774" w:rsidRPr="00C67EDD" w:rsidRDefault="00D53774" w:rsidP="00D53774">
      <w:pPr>
        <w:pStyle w:val="Heading2"/>
        <w:rPr>
          <w:sz w:val="24"/>
          <w:szCs w:val="24"/>
        </w:rPr>
      </w:pPr>
      <w:r w:rsidRPr="00C67EDD">
        <w:rPr>
          <w:sz w:val="24"/>
          <w:szCs w:val="24"/>
        </w:rPr>
        <w:t>1.2 Ibadah sebagai Pembentukan Jemaat dan Kesaksian</w:t>
      </w:r>
    </w:p>
    <w:p w:rsidR="00D53774" w:rsidRDefault="00D53774" w:rsidP="00D53774">
      <w:pPr>
        <w:ind w:firstLine="709"/>
      </w:pPr>
      <w:r>
        <w:t>Ibadah membentuk identitas gereja. Dalam Kisah Para Rasul 2:42–47, kehidupan jemaat mula-mula ditandai oleh pengajaran rasul, persekutuan, pemecahan roti, doa, kepedulian, dan kesaksian di tengah masyarakat. Teks ini tidak memberikan satu susunan liturgi baku untuk semua gereja, tetapi memperlihatkan bahwa ibadah dan kehidupan bersama tidak dipisahkan. Persekutuan yang beribadah juga dipanggil untuk memperhatikan kebutuhan sesama.</w:t>
      </w:r>
      <w:r>
        <w:rPr>
          <w:sz w:val="16"/>
          <w:vertAlign w:val="superscript"/>
        </w:rPr>
        <w:t>8</w:t>
      </w:r>
    </w:p>
    <w:p w:rsidR="00D53774" w:rsidRDefault="00D53774" w:rsidP="00D53774">
      <w:pPr>
        <w:ind w:firstLine="709"/>
      </w:pPr>
      <w:r>
        <w:t>Dengan demikian, keberhasilan ibadah tidak cukup dinilai dari jumlah orang yang hadir, kualitas musik, kemegahan gedung, atau suasana yang meriah. Pertanyaan teologis yang perlu diajukan ialah apakah ibadah memberitakan Kristus, membangun iman, menguatkan persekutuan, membentuk karakter, dan mendorong jemaat menjadi saksi di tengah masyarakat.</w:t>
      </w:r>
    </w:p>
    <w:p w:rsidR="00D53774" w:rsidRPr="00C67EDD" w:rsidRDefault="00D53774" w:rsidP="00D53774">
      <w:pPr>
        <w:pStyle w:val="Heading1"/>
        <w:rPr>
          <w:sz w:val="24"/>
        </w:rPr>
      </w:pPr>
      <w:r w:rsidRPr="00C67EDD">
        <w:rPr>
          <w:sz w:val="24"/>
        </w:rPr>
        <w:t>2 Landasan Biblika dan Teologis Ibadah</w:t>
      </w:r>
    </w:p>
    <w:p w:rsidR="00D53774" w:rsidRDefault="00D53774" w:rsidP="00D53774">
      <w:pPr>
        <w:ind w:firstLine="709"/>
      </w:pPr>
      <w:r>
        <w:t xml:space="preserve">Landasan Alkitab bagi ibadah tidak hanya ditemukan dalam satu ayat, melainkan tersebar dalam kesaksian Perjanjian Lama dan Perjanjian Baru. Dalam Perjanjian Lama, umat Israel dipanggil untuk menyembah Allah yang membebaskan mereka dari perbudakan (Kel. 20:1–6; Ul. 6:4–5). Ibadah berkaitan dengan pengakuan bahwa hanya Tuhan yang layak disembah dan ditaati. Para nabi juga </w:t>
      </w:r>
      <w:r>
        <w:lastRenderedPageBreak/>
        <w:t>mengkritik ibadah yang dipisahkan dari keadilan dan kehidupan benar. Amos 5:21–24, misalnya, memperlihatkan bahwa perayaan keagamaan tidak berkenan apabila umat mengabaikan keadilan.</w:t>
      </w:r>
    </w:p>
    <w:p w:rsidR="00D53774" w:rsidRDefault="00D53774" w:rsidP="00D53774">
      <w:pPr>
        <w:ind w:firstLine="709"/>
      </w:pPr>
      <w:r>
        <w:t>Dalam Perjanjian Baru, ibadah berpusat pada karya Yesus Kristus. Kematian dan kebangkitan Kristus menjadi dasar umat datang kepada Allah (Ibr. 10:19–25). Perjamuan Tuhan mengingatkan gereja akan kematian Kristus dan menantikan kedatangan-Nya kembali (1Kor. 11:23–26). Pemberitaan Firman, doa, nyanyian, persekutuan, dan pelayanan kasih merupakan bagian dari kehidupan jemaat yang berakar pada Injil. Kolose 3:16 menghubungkan firman Kristus, pengajaran, nasihat, mazmur, puji-pujian, dan nyanyian rohani.</w:t>
      </w:r>
    </w:p>
    <w:p w:rsidR="00D53774" w:rsidRDefault="00D53774" w:rsidP="00D53774">
      <w:pPr>
        <w:ind w:firstLine="709"/>
      </w:pPr>
      <w:r>
        <w:t>Dari kesaksian tersebut dapat dirumuskan beberapa dasar teologis. Pertama, dasar teosentris: Allah adalah pusat dan tujuan ibadah. Kedua, dasar kristologis: ibadah Kristen berlangsung melalui karya dan pengantaraan Kristus. Ketiga, dasar pneumatologis: Roh Kudus menghidupkan, memperlengkapi, dan menuntun jemaat. Keempat, dasar eklesiologis: ibadah merupakan tindakan tubuh Kristus, bukan pertunjukan individu. Kelima, dasar eskatologis: gereja beribadah sambil menantikan penggenapan Kerajaan Allah.</w:t>
      </w:r>
    </w:p>
    <w:p w:rsidR="00D53774" w:rsidRDefault="00D53774" w:rsidP="00D53774">
      <w:pPr>
        <w:ind w:firstLine="709"/>
      </w:pPr>
      <w:r>
        <w:t>Prinsip-prinsip tersebut perlu diterapkan secara utuh. Misalnya, 1 Korintus 14:26–33 tidak melarang karunia Roh, tetapi mengarahkan penggunaannya agar membangun jemaat dan berlangsung dengan tertib. Ayat 29 memerintahkan agar nubuat dinilai, sedangkan ayat 33 dan 40 menekankan Allah sebagai Allah damai sejahtera serta segala sesuatu dilakukan dengan sopan dan teratur. Karena itu, klaim bahwa suatu tindakan berasal dari Roh Kudus tidak membuat tindakan tersebut kebal dari pengujian Alkitab dan pertimbangan gereja.</w:t>
      </w:r>
    </w:p>
    <w:p w:rsidR="00D53774" w:rsidRDefault="00D53774" w:rsidP="00D53774">
      <w:pPr>
        <w:ind w:firstLine="709"/>
      </w:pPr>
      <w:r>
        <w:t>Kebebasan Kristen juga perlu dijelaskan secara tepat. Kebebasan dalam ibadah dapat mencakup kebebasan mengangkat tangan, berlutut, bertepuk tangan, berdoa secara pribadi atau bersama, menyanyikan lagu dalam beragam gaya, dan menggunakan karunia Roh sesuai ajaran Alkitab. Kebebasan tersebut bukan kebebasan untuk menguasai ibadah, memaksakan pengalaman pribadi, menyampaikan ajaran yang tidak diuji, atau mengganggu jemaat lain. Galatia 5:13 mengingatkan bahwa kemerdekaan tidak boleh menjadi kesempatan untuk hidup dalam dosa, melainkan kesempatan untuk saling melayani dalam kasih. Jadi, kebebasan dalam ibadah adalah kebebasan yang bertanggung jawab di bawah kebenaran Injil, kasih, dan pembangunan jemaat.</w:t>
      </w:r>
    </w:p>
    <w:p w:rsidR="00D53774" w:rsidRPr="00C67EDD" w:rsidRDefault="00D53774" w:rsidP="00D53774">
      <w:pPr>
        <w:pStyle w:val="Heading1"/>
        <w:rPr>
          <w:sz w:val="24"/>
        </w:rPr>
      </w:pPr>
      <w:r w:rsidRPr="00C67EDD">
        <w:rPr>
          <w:sz w:val="24"/>
        </w:rPr>
        <w:lastRenderedPageBreak/>
        <w:t>3 Landasan Historis Perkembangan Liturgi Gereja</w:t>
      </w:r>
    </w:p>
    <w:p w:rsidR="00D53774" w:rsidRDefault="00D53774" w:rsidP="00D53774">
      <w:pPr>
        <w:ind w:firstLine="709"/>
      </w:pPr>
      <w:r>
        <w:t>Sejarah liturgi memperlihatkan bahwa tata ibadah gereja mengalami perkembangan. Gereja mula-mula tidak langsung memiliki satu bentuk liturgi yang seragam di semua tempat. Praktik ibadah dipengaruhi oleh warisan ibadah Yahudi, kesaksian para rasul, kebutuhan jemaat setempat, dan perkembangan kehidupan gereja. Kajian Paul F. Bradshaw menunjukkan bahwa bentuk-bentuk ibadah Kristen pada empat abad pertama mengalami perubahan dan keragaman lokal sebelum muncul kecenderungan penyeragaman yang lebih luas.² Karena itu, sejarah liturgi perlu dibaca sebagai proses perkembangan, bukan sebagai satu susunan yang sejak awal sudah tetap.</w:t>
      </w:r>
    </w:p>
    <w:p w:rsidR="00D53774" w:rsidRDefault="00D53774" w:rsidP="00D53774">
      <w:pPr>
        <w:ind w:firstLine="709"/>
      </w:pPr>
      <w:r>
        <w:t>Kisah Para Rasul 2:42 memberi gambaran mengenai pengajaran rasul, persekutuan, pemecahan roti, dan doa. Pada abad kedua, kesaksian Yustinus Martir dalam First Apology 65–67 menggambarkan pertemuan Kristen yang mencakup pembacaan tulisan para rasul dan nabi, nasihat pemimpin, doa bersama, ucapan syukur, serta pembagian roti dan anggur. Kesaksian ini penting sebagai sumber sejarah, tetapi tidak boleh dianggap sebagai bukti bahwa seluruh gereja pada masa itu menjalankan tata ibadah yang sama persis.³</w:t>
      </w:r>
    </w:p>
    <w:p w:rsidR="00D53774" w:rsidRDefault="00D53774" w:rsidP="00D53774">
      <w:pPr>
        <w:ind w:firstLine="709"/>
      </w:pPr>
      <w:r>
        <w:t>Dalam perkembangan abad-abad berikutnya, gereja membangun bentuk ibadah yang semakin teratur, termasuk kalender gerejawi, pembinaan calon baptisan, pembacaan Alkitab, doa, dan perayaan Ekaristi atau Perjamuan Kudus. Perkembangan ini terjadi dalam konteks gereja yang semakin luas dan kemudian memperoleh kedudukan publik dalam Kekaisaran Romawi. Bentuk liturgi di wilayah Timur dan Barat berkembang dengan ciri masing-masing.</w:t>
      </w:r>
    </w:p>
    <w:p w:rsidR="00D53774" w:rsidRDefault="00D53774" w:rsidP="00D53774">
      <w:pPr>
        <w:ind w:firstLine="709"/>
      </w:pPr>
      <w:r>
        <w:t xml:space="preserve">Pada masa Reformasi abad ke-16, para reformator meninjau kembali praktik ibadah berdasarkan pemahaman mereka terhadap Alkitab dan doktrin gereja. Martin Luther mempertahankan unsur-unsur liturgi yang dinilai sesuai dengan Injil, tetapi menolak praktik yang dianggap mengaburkan anugerah Allah. Tradisi Reformed, yang berkaitan dengan tokoh seperti Huldrych Zwingli dan Yohanes Calvin, memberi perhatian besar pada pemberitaan Firman, doa, nyanyian jemaat, dan pemahaman Perjamuan Kudus. Gereja Anglikan mengembangkan bentuk ibadah melalui buku doa bersama. Sementara itu, tradisi Katolik Roma mengalami pembaruan liturgis penting melalui Konsili Trente dan kemudian Konsili Vatikan II. Perbedaan ini menunjukkan bahwa gereja-gereja memiliki penekanan yang tidak </w:t>
      </w:r>
      <w:r>
        <w:lastRenderedPageBreak/>
        <w:t>selalu sama, tetapi semuanya perlu dipelajari secara historis dan teologis, bukan dinilai hanya dari selera.</w:t>
      </w:r>
    </w:p>
    <w:p w:rsidR="00D53774" w:rsidRDefault="00D53774" w:rsidP="00D53774">
      <w:pPr>
        <w:ind w:firstLine="709"/>
      </w:pPr>
      <w:r>
        <w:t>Gerakan Pentakostal modern berkembang pada awal abad ke-20 melalui sejumlah pusat dan jaringan kebangunan rohani. Peristiwa Topeka pada 1901 dan Kebangunan Azusa Street di Los Angeles pada 1906 sering dibahas sebagai tonggak penting, tetapi perkembangan Pentakostalisme juga memiliki akar dan jalur lain di berbagai wilayah. Allan Anderson menekankan pentingnya melihat sejarah Pentakostalisme secara global, termasuk kontribusi komunitas di luar Eropa dan Amerika Utara.⁴ Penekanan pada baptisan Roh Kudus, karunia-karunia Roh, kesaksian, penyembuhan, dan partisipasi jemaat ikut membentuk corak ibadah Pentakostal.</w:t>
      </w:r>
    </w:p>
    <w:p w:rsidR="00D53774" w:rsidRDefault="00D53774" w:rsidP="00D53774">
      <w:pPr>
        <w:ind w:firstLine="709"/>
      </w:pPr>
      <w:r>
        <w:t>Perkembangan gerakan Kharismatik pada pertengahan abad ke-20 membawa penekanan pada karunia Roh Kudus ke dalam berbagai tradisi gereja, termasuk gereja-gereja yang sebelumnya memiliki liturgi lebih mapan. Oleh sebab itu, istilah Pentakostal dan Kharismatik berhubungan, tetapi tidak selalu identik. Keduanya memiliki keragaman dalam pemahaman baptisan Roh, bahasa roh, nubuat, penyembuhan, dan bentuk tata ibadah. Penelitian akademis perlu menjelaskan perbedaan tersebut secara hati-hati.</w:t>
      </w:r>
    </w:p>
    <w:p w:rsidR="00D53774" w:rsidRPr="00C67EDD" w:rsidRDefault="00D53774" w:rsidP="00D53774">
      <w:pPr>
        <w:pStyle w:val="Heading1"/>
        <w:rPr>
          <w:sz w:val="24"/>
        </w:rPr>
      </w:pPr>
      <w:r w:rsidRPr="00C67EDD">
        <w:rPr>
          <w:sz w:val="24"/>
        </w:rPr>
        <w:t>4 Landasan Dogmatis dan Perbandingan Tradisi Gereja</w:t>
      </w:r>
    </w:p>
    <w:p w:rsidR="00D53774" w:rsidRDefault="00D53774" w:rsidP="00D53774">
      <w:pPr>
        <w:ind w:firstLine="709"/>
      </w:pPr>
      <w:r>
        <w:t>Dogmatika adalah pembahasan ajaran iman gereja secara sistematis. Dalam kajian ibadah, dogmatika membantu menjelaskan mengapa gereja melakukan tindakan tertentu dan bagaimana tindakan itu berkaitan dengan ajaran tentang Allah, Kristus, Roh Kudus, gereja, keselamatan, dan sakramen. Liturgi bukan sekadar teknis acara karena susunan ibadah selalu mencerminkan pemahaman teologis suatu gereja. Frank C. Senn, dalam kajiannya tentang liturgi Kristen, memperlihatkan pentingnya membaca praktik ibadah melalui sejarah gereja, teologi, studi Alkitab, dan konteks tradisi yang berbeda.⁵</w:t>
      </w:r>
    </w:p>
    <w:p w:rsidR="00D53774" w:rsidRDefault="00D53774" w:rsidP="00D53774">
      <w:pPr>
        <w:ind w:firstLine="709"/>
      </w:pPr>
      <w:r>
        <w:t xml:space="preserve">Dalam tradisi Katolik Roma, Ekaristi memiliki kedudukan sentral sebagai perayaan sakramental yang berkaitan erat dengan kehidupan gereja. Dalam tradisi Ortodoks, liturgi ilahi menekankan partisipasi umat dalam penyembahan yang dipahami sebagai perjumpaan dengan misteri Allah. Tradisi Lutheran mempertahankan pemberitaan Firman dan sakramen sebagai unsur penting pelayanan gereja. Tradisi Reformed memberi perhatian kuat pada otoritas Alkitab, </w:t>
      </w:r>
      <w:r>
        <w:lastRenderedPageBreak/>
        <w:t>pemberitaan Firman, doa, dan nyanyian jemaat. Tradisi Anglikan menggabungkan pola liturgis yang teratur dengan penekanan pada pembacaan Alkitab, doa, dan sakramen. Tradisi Baptis umumnya menekankan pembacaan dan pemberitaan Alkitab, doa, nyanyian, serta baptisan dan Perjamuan Tuhan menurut pemahaman gerejanya. Sementara itu, tradisi Pentakostal-Kharismatik cenderung memberi ruang lebih luas bagi ekspresi spontan, doa, kesaksian, dan karunia Roh.</w:t>
      </w:r>
    </w:p>
    <w:p w:rsidR="00D53774" w:rsidRDefault="00D53774" w:rsidP="00D53774">
      <w:pPr>
        <w:ind w:firstLine="709"/>
      </w:pPr>
      <w:r>
        <w:t>Perbandingan tersebut merupakan gambaran umum, bukan penilaian mutlak terhadap setiap jemaat. Di dalam masing-masing tradisi terdapat variasi. Ada gereja Pentakostal yang liturginya sangat terencana, dan ada gereja dari tradisi liturgis yang menyediakan ruang bagi doa spontan. Karena itu, tidak tepat menyimpulkan bahwa gereja yang liturgis pasti kaku atau gereja yang spontan pasti lebih rohani. Ukuran teologisnya ialah kesetiaan kepada Injil, kesesuaian dengan Alkitab, pembangunan jemaat, dan pemuliaan Allah.</w:t>
      </w:r>
    </w:p>
    <w:p w:rsidR="00D53774" w:rsidRDefault="00D53774" w:rsidP="00D53774">
      <w:pPr>
        <w:ind w:firstLine="709"/>
      </w:pPr>
      <w:r>
        <w:t>Istilah gereja besar dan gereja kecil perlu dibedakan dari istilah denominasi atau aliran teologi. Besar dan kecil dapat menunjuk pada jumlah jemaat, kapasitas gedung, sumber daya, serta kompleksitas organisasi. Hal tersebut bukan kategori dogmatis. Gereja besar dapat berasal dari tradisi Pentakostal, Reformed, Baptis, Katolik, atau tradisi lain; demikian pula gereja kecil. Gereja besar biasanya membutuhkan koordinasi pelayanan, pengaturan ruang, sistem suara, keamanan, dan pembagian tugas yang lebih kompleks. Gereja kecil mungkin memiliki hubungan antarjemaat yang lebih dekat dan pelayan yang merangkap beberapa tugas. Namun, keduanya tetap bertanggung jawab menjaga isi ibadah, pelayanan Firman, doa, persekutuan, dan kepedulian.</w:t>
      </w:r>
    </w:p>
    <w:p w:rsidR="00D53774" w:rsidRDefault="00D53774" w:rsidP="00D53774">
      <w:pPr>
        <w:ind w:firstLine="709"/>
      </w:pPr>
      <w:r>
        <w:t>Secara dogmatis, ukuran gereja tidak menentukan kualitas iman atau kehadiran Allah. 1 Korintus 12:12–27 mengajarkan bahwa tubuh Kristus terdiri dari banyak anggota dengan fungsi yang berbeda. Ayat ini dapat menjadi dasar untuk menghargai gereja dengan sumber daya yang berbeda. Gereja besar tidak boleh mengukur keberhasilan hanya melalui kemegahan dan jumlah peserta, sedangkan gereja kecil tidak boleh merasa bahwa keterbatasan fasilitas membuat ibadahnya kurang bernilai. Keduanya dipanggil untuk setia dan melayani sesuai karunia serta kemampuan yang dimiliki.</w:t>
      </w:r>
    </w:p>
    <w:p w:rsidR="00D53774" w:rsidRPr="00C67EDD" w:rsidRDefault="00D53774" w:rsidP="00D53774">
      <w:pPr>
        <w:pStyle w:val="Heading1"/>
        <w:rPr>
          <w:sz w:val="24"/>
        </w:rPr>
      </w:pPr>
      <w:r w:rsidRPr="00C67EDD">
        <w:rPr>
          <w:sz w:val="24"/>
        </w:rPr>
        <w:t>5 Kebebasan dan Keteraturan dalam Ibadah</w:t>
      </w:r>
    </w:p>
    <w:p w:rsidR="00D53774" w:rsidRDefault="00D53774" w:rsidP="00D53774">
      <w:pPr>
        <w:ind w:firstLine="709"/>
      </w:pPr>
      <w:r>
        <w:lastRenderedPageBreak/>
        <w:t>Kebebasan dalam ibadah Pentakostal-Kharismatik perlu dipahami dalam beberapa bentuk. Pertama, kebebasan ekspresi tubuh, seperti mengangkat tangan, bertepuk tangan, berdiri, atau berlutut (Mzm. 47:2; 63:5; 1Tim. 2:8). Kedua, kebebasan doa dan pujian, baik secara bersama maupun pribadi. Ketiga, ruang bagi karunia Roh, seperti bahasa roh, penafsiran bahasa roh, nubuat, dan bentuk pelayanan lainnya (1Kor. 12:4–11). Keempat, kebebasan kontekstual dalam memilih bahasa, alat musik, lagu, dan bentuk komunikasi yang dapat dipahami jemaat. Kebebasan ini bukan berarti semua bentuk harus digunakan dalam setiap ibadah.</w:t>
      </w:r>
      <w:r>
        <w:rPr>
          <w:sz w:val="16"/>
          <w:vertAlign w:val="superscript"/>
        </w:rPr>
        <w:t>9</w:t>
      </w:r>
    </w:p>
    <w:p w:rsidR="00D53774" w:rsidRDefault="00D53774" w:rsidP="00D53774">
      <w:pPr>
        <w:ind w:firstLine="709"/>
      </w:pPr>
      <w:r>
        <w:t>Keteraturan tidak dimaksudkan untuk memadamkan Roh Kudus. Dalam 1 Tesalonika 5:19–22, Paulus mengingatkan jemaat agar tidak memadamkan Roh dan tidak meremehkan nubuat, tetapi segala sesuatu harus diuji dan yang baik harus dipegang. Dalam 1 Korintus 14:26–40, karunia-karunia dipakai untuk membangun jemaat dan dilakukan secara tertib. Kedua bagian ini memperlihatkan keseimbangan antara keterbukaan terhadap karya Roh dan tanggung jawab untuk menguji serta mengatur pelaksanaannya.</w:t>
      </w:r>
    </w:p>
    <w:p w:rsidR="00D53774" w:rsidRDefault="00D53774" w:rsidP="00D53774">
      <w:pPr>
        <w:ind w:firstLine="709"/>
      </w:pPr>
      <w:r>
        <w:t>Dalam praktik, pemimpin ibadah perlu menjelaskan tata cara pelayanan, menjaga agar satu orang tidak mendominasi, memberi ruang bagi jemaat untuk berpartisipasi, dan memastikan bahwa setiap kesaksian atau nubuat tidak bertentangan dengan ajaran Alkitab. Apabila muncul tindakan yang mengganggu, merendahkan orang lain, atau menimbulkan kebingungan, pemimpin perlu menanganinya dengan kasih dan ketegasan. Dengan demikian, keteraturan bukan lawan kebebasan, melainkan bentuk tanggung jawab agar kebebasan membawa kebaikan bagi seluruh jemaat.</w:t>
      </w:r>
    </w:p>
    <w:p w:rsidR="00D53774" w:rsidRPr="00C67EDD" w:rsidRDefault="00D53774" w:rsidP="00D53774">
      <w:pPr>
        <w:pStyle w:val="Heading1"/>
        <w:rPr>
          <w:sz w:val="24"/>
        </w:rPr>
      </w:pPr>
      <w:r w:rsidRPr="00C67EDD">
        <w:rPr>
          <w:sz w:val="24"/>
        </w:rPr>
        <w:t>6 Struktur dan Unsur-Unsur Liturgi Ibadah Pentakostal-Kharismatik</w:t>
      </w:r>
    </w:p>
    <w:p w:rsidR="00D53774" w:rsidRDefault="00D53774" w:rsidP="00D53774">
      <w:pPr>
        <w:ind w:firstLine="709"/>
      </w:pPr>
      <w:r>
        <w:t>Liturgi adalah tata susunan dan tindakan yang menolong jemaat berkumpul, mendengar Firman, berdoa, memuji Allah, merayakan sakramen atau ordinansi, serta diutus untuk menjalani panggilan Kristen. James F. White menjelaskan ibadah Kristen sebagai bidang yang perlu dipelajari dari bentuk, sejarah, teologi, dan praktik berbagai gereja.⁶ Dengan demikian, liturgi bukan sekadar daftar acara, tetapi cara gereja mengungkapkan imannya melalui tindakan bersama.</w:t>
      </w:r>
    </w:p>
    <w:p w:rsidR="00D53774" w:rsidRDefault="00D53774" w:rsidP="00D53774">
      <w:pPr>
        <w:ind w:firstLine="709"/>
      </w:pPr>
      <w:r>
        <w:t xml:space="preserve">Tidak ada satu susunan yang wajib dipakai secara identik oleh semua gereja Pentakostal-Kharismatik. Namun, beberapa unsur umum dapat ditemukan, seperti pembukaan, pujian dan penyembahan, doa, pembacaan Alkitab, pemberitaan </w:t>
      </w:r>
      <w:r>
        <w:lastRenderedPageBreak/>
        <w:t>Firman, persembahan, Perjamuan Tuhan apabila dijadwalkan, doa respons, dan pengutusan. Susunan dapat disesuaikan dengan jenis ibadah, kalender gerejawi, kebutuhan jemaat, serta kebijakan gereja.</w:t>
      </w:r>
    </w:p>
    <w:p w:rsidR="00D53774" w:rsidRPr="00C67EDD" w:rsidRDefault="00D53774" w:rsidP="00D53774">
      <w:pPr>
        <w:pStyle w:val="Heading2"/>
        <w:rPr>
          <w:sz w:val="24"/>
        </w:rPr>
      </w:pPr>
      <w:r w:rsidRPr="00C67EDD">
        <w:rPr>
          <w:sz w:val="24"/>
        </w:rPr>
        <w:t>6.1 Pembukaan dan Panggilan Beribadah</w:t>
      </w:r>
    </w:p>
    <w:p w:rsidR="00D53774" w:rsidRDefault="00D53774" w:rsidP="00D53774">
      <w:pPr>
        <w:ind w:firstLine="709"/>
      </w:pPr>
      <w:r>
        <w:t>Pembukaan menolong jemaat menyadari tujuan pertemuan. Salam, pembacaan Alkitab, doa pembukaan, atau panggilan beribadah dapat digunakan untuk mengarahkan perhatian kepada Allah. Mazmur 95:1–7 mengajak umat datang dengan nyanyian syukur sekaligus menyembah Tuhan sebagai Pencipta dan Gembala. Karena itu, pembukaan sebaiknya tidak hanya menjadi pengumuman acara, tetapi mengantar jemaat memasuki ibadah dengan kesadaran iman.</w:t>
      </w:r>
    </w:p>
    <w:p w:rsidR="00D53774" w:rsidRPr="00C67EDD" w:rsidRDefault="00D53774" w:rsidP="00D53774">
      <w:pPr>
        <w:pStyle w:val="Heading2"/>
        <w:rPr>
          <w:sz w:val="24"/>
        </w:rPr>
      </w:pPr>
      <w:r w:rsidRPr="00C67EDD">
        <w:rPr>
          <w:sz w:val="24"/>
        </w:rPr>
        <w:t>6.2 Pujian dan Penyembahan</w:t>
      </w:r>
    </w:p>
    <w:p w:rsidR="00D53774" w:rsidRDefault="00D53774" w:rsidP="00D53774">
      <w:pPr>
        <w:ind w:firstLine="709"/>
      </w:pPr>
      <w:r>
        <w:t>Pujian dan penyembahan memberi kesempatan kepada jemaat untuk mengungkapkan syukur, pengakuan, dan penghormatan kepada Allah. Efesus 5:18–20 menghubungkan kehidupan yang dipenuhi Roh dengan mazmur, puji-pujian, nyanyian rohani, dan ucapan syukur. Kolose 3:16 menempatkan firman Kristus sebagai dasar pengajaran dan nyanyian jemaat. Karena itu, pemilihan lagu perlu memperhatikan isi teologis, kesesuaian dengan tema, keterpahaman bahasa, serta kemampuan jemaat untuk bernyanyi bersama.</w:t>
      </w:r>
      <w:r>
        <w:rPr>
          <w:sz w:val="16"/>
          <w:vertAlign w:val="superscript"/>
        </w:rPr>
        <w:t>10</w:t>
      </w:r>
    </w:p>
    <w:p w:rsidR="00D53774" w:rsidRDefault="00D53774" w:rsidP="00D53774">
      <w:pPr>
        <w:ind w:firstLine="709"/>
      </w:pPr>
      <w:r>
        <w:t>Perbedaan tempo atau suasana lagu tidak boleh dijadikan ukuran tunggal kedalaman rohani. Lagu yang cepat tidak otomatis lebih penuh Roh, dan lagu yang lambat tidak otomatis lebih khusyuk. Yang perlu dinilai adalah isi, tujuan, dan dampaknya bagi jemaat. Pemimpin pujian perlu memahami lirik yang dinyanyikan agar tidak menyampaikan gagasan yang keliru tentang Allah, keselamatan, manusia, atau kehidupan Kristen.</w:t>
      </w:r>
    </w:p>
    <w:p w:rsidR="00D53774" w:rsidRPr="00C67EDD" w:rsidRDefault="00D53774" w:rsidP="00D53774">
      <w:pPr>
        <w:pStyle w:val="Heading2"/>
        <w:rPr>
          <w:sz w:val="24"/>
        </w:rPr>
      </w:pPr>
      <w:r w:rsidRPr="00C67EDD">
        <w:rPr>
          <w:sz w:val="24"/>
        </w:rPr>
        <w:t>6.3 Doa dan Syafaat</w:t>
      </w:r>
    </w:p>
    <w:p w:rsidR="00D53774" w:rsidRDefault="00D53774" w:rsidP="00D53774">
      <w:pPr>
        <w:ind w:firstLine="709"/>
      </w:pPr>
      <w:r>
        <w:t>Doa merupakan respons iman dan ketergantungan kepada Allah. Dalam ibadah, doa dapat berupa ucapan syukur, pengakuan dosa, permohonan, doa syafaat, dan doa respons setelah Firman. 1 Timotius 2:1–2 mendorong jemaat menaikkan permohonan, doa, syafaat, dan ucapan syukur bagi semua orang. Doa perlu disampaikan dengan jelas, tidak memanipulasi emosi, dan tidak digunakan untuk mempermalukan orang yang sedang bergumul.</w:t>
      </w:r>
    </w:p>
    <w:p w:rsidR="00D53774" w:rsidRPr="00C67EDD" w:rsidRDefault="00D53774" w:rsidP="00D53774">
      <w:pPr>
        <w:pStyle w:val="Heading2"/>
        <w:rPr>
          <w:sz w:val="24"/>
        </w:rPr>
      </w:pPr>
      <w:r w:rsidRPr="00C67EDD">
        <w:rPr>
          <w:sz w:val="24"/>
        </w:rPr>
        <w:lastRenderedPageBreak/>
        <w:t>6.4 Kesaksian dan Pelayanan Karunia Roh</w:t>
      </w:r>
    </w:p>
    <w:p w:rsidR="00D53774" w:rsidRDefault="00D53774" w:rsidP="00D53774">
      <w:pPr>
        <w:ind w:firstLine="709"/>
      </w:pPr>
      <w:r>
        <w:t>Kesaksian dapat menguatkan jemaat ketika menceritakan pertolongan Allah secara jujur dan berpusat pada karya-Nya. Kesaksian tidak boleh digunakan untuk membangun popularitas pribadi atau menjanjikan bahwa pengalaman seseorang pasti terjadi pada semua orang. Pelayanan karunia Roh perlu mengikuti prinsip 1 Korintus 12–14, yaitu berasal dari Roh yang sama, digunakan untuk kepentingan bersama, diuji, dan membangun jemaat. Pemimpin gereja perlu menyediakan tata cara yang jelas agar pelayanan ini berlangsung dengan bertanggung jawab.</w:t>
      </w:r>
    </w:p>
    <w:p w:rsidR="00D53774" w:rsidRPr="00C67EDD" w:rsidRDefault="00D53774" w:rsidP="00D53774">
      <w:pPr>
        <w:pStyle w:val="Heading2"/>
        <w:rPr>
          <w:sz w:val="24"/>
        </w:rPr>
      </w:pPr>
      <w:r w:rsidRPr="00C67EDD">
        <w:rPr>
          <w:sz w:val="24"/>
        </w:rPr>
        <w:t>6.5 Pembacaan dan Pemberitaan Firman</w:t>
      </w:r>
    </w:p>
    <w:p w:rsidR="00D53774" w:rsidRDefault="00D53774" w:rsidP="00D53774">
      <w:pPr>
        <w:ind w:firstLine="709"/>
      </w:pPr>
      <w:r>
        <w:t>Pembacaan dan pemberitaan Firman merupakan unsur utama karena gereja dipanggil untuk mendengar dan menaati penyataan Allah. 2 Timotius 3:16–17 menjelaskan fungsi Kitab Suci untuk mengajar, menyatakan kesalahan, memperbaiki kelakuan, dan mendidik dalam kebenaran. Pengkhotbah perlu memperhatikan konteks teks, maksud penulis, latar sejarah, bentuk sastra, dan hubungan teks dengan keseluruhan kesaksian Alkitab. Pemberitaan tidak seharusnya hanya memakai ayat sebagai slogan untuk mendukung pendapat pribadi.</w:t>
      </w:r>
    </w:p>
    <w:p w:rsidR="00D53774" w:rsidRPr="00C67EDD" w:rsidRDefault="00D53774" w:rsidP="00D53774">
      <w:pPr>
        <w:pStyle w:val="Heading2"/>
        <w:rPr>
          <w:sz w:val="24"/>
        </w:rPr>
      </w:pPr>
      <w:r w:rsidRPr="00C67EDD">
        <w:rPr>
          <w:sz w:val="24"/>
        </w:rPr>
        <w:t>6.6 Persembahan</w:t>
      </w:r>
    </w:p>
    <w:p w:rsidR="00D53774" w:rsidRDefault="00D53774" w:rsidP="00D53774">
      <w:pPr>
        <w:ind w:firstLine="709"/>
      </w:pPr>
      <w:r>
        <w:t>Persembahan merupakan ungkapan syukur dan partisipasi jemaat dalam pelayanan. 2 Korintus 9:6–8 menekankan pemberian yang dilakukan dengan kerelaan, bukan karena paksaan. Karena itu, gereja perlu menjelaskan tujuan persembahan secara transparan dan menghindari tekanan, ancaman, atau janji bahwa pemberian tertentu pasti menghasilkan keuntungan materi. Pengelolaan persembahan harus disertai akuntabilitas dan tanggung jawab.</w:t>
      </w:r>
    </w:p>
    <w:p w:rsidR="00D53774" w:rsidRPr="00835BA1" w:rsidRDefault="00D53774" w:rsidP="00D53774">
      <w:pPr>
        <w:pStyle w:val="Heading2"/>
        <w:rPr>
          <w:sz w:val="24"/>
        </w:rPr>
      </w:pPr>
      <w:r w:rsidRPr="00835BA1">
        <w:rPr>
          <w:sz w:val="24"/>
        </w:rPr>
        <w:t>6.7 Perjamuan Tuhan dan Baptisan</w:t>
      </w:r>
    </w:p>
    <w:p w:rsidR="00D53774" w:rsidRDefault="00D53774" w:rsidP="00D53774">
      <w:pPr>
        <w:ind w:firstLine="709"/>
      </w:pPr>
      <w:r>
        <w:t xml:space="preserve">Perjamuan Tuhan dan baptisan merupakan tindakan gerejawi yang memiliki dasar penting dalam Perjanjian Baru. Pelaksanaan dan pemahamannya berbeda di antara tradisi gereja. Sebagian tradisi menyebutnya sakramen, sedangkan sebagian gereja Injili dan Pentakostal menggunakan istilah ordinansi. Perbedaan istilah ini mencerminkan perbedaan pemahaman dogmatis, sehingga gereja perlu mengikuti pengakuan iman dan tata gerejanya sendiri, sambil tetap menjelaskan dasar Alkitab </w:t>
      </w:r>
      <w:r>
        <w:lastRenderedPageBreak/>
        <w:t>seperti Matius 28:19–20 dan 1 Korintus 11:23–26. Tidak tepat menganggap unsur ini selalu harus muncul pada setiap ibadah mingguan di semua denominasi.</w:t>
      </w:r>
      <w:r>
        <w:rPr>
          <w:sz w:val="16"/>
          <w:vertAlign w:val="superscript"/>
        </w:rPr>
        <w:t>11</w:t>
      </w:r>
    </w:p>
    <w:p w:rsidR="00D53774" w:rsidRPr="00835BA1" w:rsidRDefault="00D53774" w:rsidP="00D53774">
      <w:pPr>
        <w:pStyle w:val="Heading2"/>
        <w:rPr>
          <w:sz w:val="24"/>
        </w:rPr>
      </w:pPr>
      <w:r w:rsidRPr="00835BA1">
        <w:rPr>
          <w:sz w:val="24"/>
        </w:rPr>
        <w:t>6.8 Doa Penutup dan Pengutusan</w:t>
      </w:r>
    </w:p>
    <w:p w:rsidR="00D53774" w:rsidRDefault="00D53774" w:rsidP="00D53774">
      <w:pPr>
        <w:ind w:firstLine="709"/>
      </w:pPr>
      <w:r>
        <w:t>Pengutusan mengingatkan jemaat bahwa ibadah berlanjut dalam kehidupan sehari-hari. Matius 28:18–20 menempatkan murid-murid dalam panggilan untuk menjadikan semua bangsa murid Kristus. Doa penutup bukan sekadar tanda bahwa acara selesai, melainkan permohonan agar jemaat hidup dalam ketaatan, kasih, dan kesaksian. Dengan demikian, liturgi memiliki arah keluar: jemaat kembali ke keluarga, pekerjaan, pendidikan, dan masyarakat sebagai saksi Kristus.</w:t>
      </w:r>
    </w:p>
    <w:p w:rsidR="00D53774" w:rsidRPr="00835BA1" w:rsidRDefault="00D53774" w:rsidP="00D53774">
      <w:pPr>
        <w:pStyle w:val="Heading1"/>
        <w:rPr>
          <w:sz w:val="24"/>
        </w:rPr>
      </w:pPr>
      <w:r w:rsidRPr="00835BA1">
        <w:rPr>
          <w:sz w:val="24"/>
        </w:rPr>
        <w:t>7 Perencanaan Peribadatan dalam Gereja Pentakostal-Kharismatik</w:t>
      </w:r>
    </w:p>
    <w:p w:rsidR="00D53774" w:rsidRDefault="00D53774" w:rsidP="00D53774">
      <w:pPr>
        <w:ind w:firstLine="709"/>
      </w:pPr>
      <w:r>
        <w:t>Perencanaan peribadatan adalah proses mempersiapkan tujuan, isi, pelayan, sarana, dan alur ibadah. Perencanaan tidak berarti mengendalikan Roh Kudus atau memastikan seluruh peristiwa harus berjalan persis seperti naskah. Perencanaan merupakan bentuk tanggung jawab manusia dalam pelayanan. Prinsip 1 Korintus 14:40, yaitu segala sesuatu dilakukan dengan sopan dan teratur, dapat menjadi dasar penting bagi pengelolaan ibadah.</w:t>
      </w:r>
    </w:p>
    <w:p w:rsidR="00D53774" w:rsidRDefault="00D53774" w:rsidP="00D53774">
      <w:pPr>
        <w:ind w:firstLine="709"/>
      </w:pPr>
      <w:r>
        <w:t>Perencanaan yang baik dimulai dari pemahaman terhadap kebutuhan jemaat. Gereja perlu mengenali usia, bahasa, latar pendidikan, kondisi sosial, kebutuhan pastoral, serta kemampuan teknis yang tersedia. Tema dan tujuan ibadah kemudian dirumuskan berdasarkan teks Alkitab. Setelah itu, lagu, doa, pembacaan Firman, pelayanan khusus, dan pengutusan disusun agar memiliki hubungan yang jelas.</w:t>
      </w:r>
    </w:p>
    <w:p w:rsidR="00D53774" w:rsidRPr="00835BA1" w:rsidRDefault="00D53774" w:rsidP="00D53774">
      <w:pPr>
        <w:pStyle w:val="Heading2"/>
        <w:rPr>
          <w:sz w:val="24"/>
        </w:rPr>
      </w:pPr>
      <w:r w:rsidRPr="00835BA1">
        <w:rPr>
          <w:sz w:val="24"/>
        </w:rPr>
        <w:t>7.1 Menentukan Tema, Tujuan, dan Dasar Alkitab</w:t>
      </w:r>
    </w:p>
    <w:p w:rsidR="00D53774" w:rsidRDefault="00D53774" w:rsidP="00D53774">
      <w:pPr>
        <w:ind w:firstLine="709"/>
      </w:pPr>
      <w:r>
        <w:t>Tema harus dirumuskan secara jelas dan tidak terlalu luas. Tujuan ibadah menjelaskan pemahaman atau respons iman yang diharapkan muncul pada jemaat. Dasar Alkitab dipilih melalui pembacaan konteks, bukan hanya karena satu ayat memuat kata yang sama dengan tema. Misalnya, tema tentang pengampunan perlu memperhatikan konteks ajaran Yesus dan keseluruhan pesan Alkitab tentang anugerah, pertobatan, serta pemulihan hubungan.</w:t>
      </w:r>
    </w:p>
    <w:p w:rsidR="00D53774" w:rsidRPr="00835BA1" w:rsidRDefault="00D53774" w:rsidP="00D53774">
      <w:pPr>
        <w:pStyle w:val="Heading2"/>
        <w:rPr>
          <w:sz w:val="24"/>
        </w:rPr>
      </w:pPr>
      <w:r w:rsidRPr="00835BA1">
        <w:rPr>
          <w:sz w:val="24"/>
        </w:rPr>
        <w:t>7.2 Menyusun Alur dan Memilih Materi</w:t>
      </w:r>
    </w:p>
    <w:p w:rsidR="00D53774" w:rsidRDefault="00D53774" w:rsidP="00D53774">
      <w:pPr>
        <w:ind w:firstLine="709"/>
      </w:pPr>
      <w:r>
        <w:lastRenderedPageBreak/>
        <w:t>Setelah tema dan dasar Alkitab ditentukan, tim menyusun alur ibadah. Setiap bagian perlu memiliki fungsi dan hubungan dengan bagian lain. Lagu dipilih berdasarkan isi teologis, keterpahaman, dan kemampuan jemaat. Doa dan kesaksian disiapkan secara proporsional. Pemberitaan Firman dikoordinasikan dengan pemimpin ibadah agar keseluruhan rangkaian tidak berjalan terpisah.</w:t>
      </w:r>
    </w:p>
    <w:p w:rsidR="00D53774" w:rsidRPr="00835BA1" w:rsidRDefault="00D53774" w:rsidP="00D53774">
      <w:pPr>
        <w:pStyle w:val="Heading2"/>
        <w:rPr>
          <w:sz w:val="24"/>
        </w:rPr>
      </w:pPr>
      <w:r w:rsidRPr="00835BA1">
        <w:rPr>
          <w:sz w:val="24"/>
        </w:rPr>
        <w:t>7.3 Pembagian Tugas dan Persiapan Pelayan</w:t>
      </w:r>
    </w:p>
    <w:p w:rsidR="00D53774" w:rsidRDefault="00D53774" w:rsidP="00D53774">
      <w:pPr>
        <w:ind w:firstLine="709"/>
      </w:pPr>
      <w:r>
        <w:t>Pelayan dapat terdiri dari pemimpin ibadah, pemimpin pujian, penyanyi, pemusik, pembaca Alkitab, pendoa, pengkhotbah, penerima tamu, operator multimedia, dan petugas teknis. Pembagian tugas harus disesuaikan dengan jumlah pelayan yang tersedia. Dalam gereja kecil, satu orang mungkin memegang lebih dari satu tanggung jawab, tetapi tugas dan batas pelayanannya tetap perlu dipahami. Dalam gereja besar, koordinasi antartim menjadi semakin penting agar pelayanan tidak saling mengganggu.</w:t>
      </w:r>
    </w:p>
    <w:p w:rsidR="00D53774" w:rsidRPr="00835BA1" w:rsidRDefault="00D53774" w:rsidP="00D53774">
      <w:pPr>
        <w:pStyle w:val="Heading2"/>
        <w:rPr>
          <w:sz w:val="24"/>
        </w:rPr>
      </w:pPr>
      <w:r w:rsidRPr="00835BA1">
        <w:rPr>
          <w:sz w:val="24"/>
        </w:rPr>
        <w:t>7.4 Persiapan Teknis dan Komunikasi</w:t>
      </w:r>
    </w:p>
    <w:p w:rsidR="00D53774" w:rsidRDefault="00D53774" w:rsidP="00D53774">
      <w:pPr>
        <w:ind w:firstLine="709"/>
      </w:pPr>
      <w:r>
        <w:t>Mikrofon, alat musik, kabel, proyektor, layar, pencahayaan, dan sistem suara perlu diperiksa sebelum ibadah. Persiapan teknis bukan hal yang bertentangan dengan spiritualitas. Justru kesiapan teknis dapat mengurangi gangguan sehingga jemaat lebih mudah mengikuti ibadah. Tim juga perlu menyepakati tanda, urutan lagu, durasi, dan cara berkomunikasi apabila terjadi perubahan.</w:t>
      </w:r>
    </w:p>
    <w:p w:rsidR="00D53774" w:rsidRPr="00835BA1" w:rsidRDefault="00D53774" w:rsidP="00D53774">
      <w:pPr>
        <w:pStyle w:val="Heading2"/>
        <w:rPr>
          <w:sz w:val="24"/>
        </w:rPr>
      </w:pPr>
      <w:r w:rsidRPr="00835BA1">
        <w:rPr>
          <w:sz w:val="24"/>
        </w:rPr>
        <w:t>7.5 Evaluasi Peribadatan</w:t>
      </w:r>
    </w:p>
    <w:p w:rsidR="00D53774" w:rsidRDefault="00D53774" w:rsidP="00D53774">
      <w:pPr>
        <w:ind w:firstLine="709"/>
      </w:pPr>
      <w:r>
        <w:t>Evaluasi dilakukan untuk melihat apakah tujuan ibadah tercapai dan bagian mana yang perlu diperbaiki. Aspek yang dapat dievaluasi meliputi kesesuaian tema dan Firman, keterlibatan jemaat, kejelasan suara, ketepatan waktu, komunikasi pelayan, akses bagi lansia dan penyandang disabilitas, serta pengelolaan persembahan. Evaluasi tidak bertujuan mencari kambing hitam, melainkan membangun budaya pelayanan yang bertanggung jawab. Hasil evaluasi menjadi dasar perencanaan berikutnya.</w:t>
      </w:r>
    </w:p>
    <w:p w:rsidR="00D53774" w:rsidRPr="00835BA1" w:rsidRDefault="00D53774" w:rsidP="00D53774">
      <w:pPr>
        <w:pStyle w:val="Heading1"/>
        <w:rPr>
          <w:sz w:val="24"/>
        </w:rPr>
      </w:pPr>
      <w:r w:rsidRPr="00835BA1">
        <w:rPr>
          <w:sz w:val="24"/>
        </w:rPr>
        <w:t>8 Kontekstualisasi Ibadah: Gereja Perkotaan dan Pedesaan</w:t>
      </w:r>
    </w:p>
    <w:p w:rsidR="00D53774" w:rsidRDefault="00D53774" w:rsidP="00D53774">
      <w:pPr>
        <w:ind w:firstLine="709"/>
      </w:pPr>
      <w:r>
        <w:t xml:space="preserve">Kontekstualisasi berarti menyampaikan dan melaksanakan iman Kristen dengan memperhatikan keadaan nyata masyarakat tanpa mengubah inti Injil. Bentuk </w:t>
      </w:r>
      <w:r>
        <w:lastRenderedPageBreak/>
        <w:t>ibadah dapat dipengaruhi oleh bahasa, budaya, mata pencaharian, pendidikan, mobilitas, teknologi, dan fasilitas setempat. Kontekstualisasi bukan berarti mengikuti semua kebiasaan masyarakat tanpa penilaian teologis. Gereja perlu membedakan unsur budaya yang dapat digunakan sebagai sarana komunikasi dengan unsur yang bertentangan dengan iman Kristen.</w:t>
      </w:r>
    </w:p>
    <w:p w:rsidR="00D53774" w:rsidRDefault="00D53774" w:rsidP="00D53774">
      <w:pPr>
        <w:ind w:firstLine="709"/>
      </w:pPr>
      <w:r>
        <w:t>Dalam konteks perkotaan, jemaat sering memiliki latar belakang yang beragam, jadwal kerja yang padat, mobilitas tinggi, dan akses teknologi yang lebih luas. Gereja perkotaan dapat menggunakan beberapa jadwal ibadah, pelayanan kelompok kecil, media digital, dan sistem koordinasi yang lebih kompleks. Namun, tantangannya adalah menjaga agar ibadah tidak berubah menjadi konsumsi rohani yang berorientasi pada kualitas pertunjukan, popularitas pengkhotbah, atau kenyamanan pribadi. Gereja perlu membangun relasi yang nyata dan kepedulian terhadap masyarakat kota.</w:t>
      </w:r>
    </w:p>
    <w:p w:rsidR="00D53774" w:rsidRDefault="00D53774" w:rsidP="00D53774">
      <w:pPr>
        <w:ind w:firstLine="709"/>
      </w:pPr>
      <w:r>
        <w:t>Dalam konteks pedesaan, gereja dapat berhadapan dengan hubungan sosial yang lebih dekat, penggunaan bahasa daerah, keterbatasan transportasi, fasilitas, atau tenaga pelayan. Kondisi ini tidak berlaku sama di semua desa. Gereja pedesaan dapat mengembangkan ibadah yang memakai bahasa yang dipahami jemaat, melibatkan musik lokal yang sesuai dengan iman Kristen, dan menghubungkan pemberitaan Firman dengan kehidupan keluarga, pertanian, pekerjaan, serta hubungan sosial. Tantangannya adalah memastikan keterbatasan sarana tidak mengurangi mutu pengajaran dan pelayanan pastoral.</w:t>
      </w:r>
    </w:p>
    <w:p w:rsidR="00D53774" w:rsidRDefault="00D53774" w:rsidP="00D53774">
      <w:pPr>
        <w:ind w:firstLine="709"/>
      </w:pPr>
      <w:r>
        <w:t>Perbandingan kota dan desa tidak boleh dibuat secara stereotip. Tidak semua gereja kota memiliki fasilitas lengkap, dan tidak semua gereja desa kekurangan sumber daya. Ada gereja pedesaan yang memiliki teknologi baik, sementara gereja perkotaan dapat menghadapi kesenjangan ekonomi dan keterbatasan ruang. Oleh karena itu, perencanaan ibadah harus dimulai dari penelitian sederhana terhadap jemaat setempat, bukan dari anggapan umum.</w:t>
      </w:r>
    </w:p>
    <w:p w:rsidR="00D53774" w:rsidRDefault="00D53774" w:rsidP="00D53774">
      <w:pPr>
        <w:ind w:firstLine="709"/>
      </w:pPr>
      <w:r>
        <w:t>Kontekstualisasi juga menyangkut inklusivitas. Gereja perlu mempertimbangkan anak-anak, remaja, orang dewasa, lansia, keluarga, jemaat dengan keterbatasan pendengaran atau mobilitas, serta orang yang baru pertama kali datang. Bahasa khotbah dan lagu perlu dapat dipahami. Volume musik perlu memperhatikan kenyamanan jemaat. Tata ruang sebaiknya memberi akses yang aman. Dengan demikian, ibadah menjadi persekutuan yang memperhatikan seluruh anggota tubuh Kristus.</w:t>
      </w:r>
    </w:p>
    <w:p w:rsidR="00D53774" w:rsidRPr="00835BA1" w:rsidRDefault="00D53774" w:rsidP="00D53774">
      <w:pPr>
        <w:pStyle w:val="Heading1"/>
        <w:rPr>
          <w:sz w:val="24"/>
        </w:rPr>
      </w:pPr>
      <w:r w:rsidRPr="00835BA1">
        <w:rPr>
          <w:sz w:val="24"/>
        </w:rPr>
        <w:lastRenderedPageBreak/>
        <w:t>9 Pelaksanaan dan Evaluasi Peribadatan</w:t>
      </w:r>
    </w:p>
    <w:p w:rsidR="00D53774" w:rsidRDefault="00D53774" w:rsidP="00D53774">
      <w:pPr>
        <w:ind w:firstLine="709"/>
      </w:pPr>
      <w:r>
        <w:t>Pada saat ibadah berlangsung, rancangan berfungsi sebagai pedoman, bukan sebagai aturan yang meniadakan kebijaksanaan. Pemimpin ibadah perlu menjaga alur, memperhatikan kondisi jemaat, dan berkoordinasi dengan pelayan lain. Apabila terjadi perubahan, keputusan perlu mempertimbangkan tujuan ibadah, waktu, keterlibatan jemaat, dan prinsip Alkitab. Kepekaan terhadap Roh Kudus harus berjalan bersama pengujian, kerendahan hati, dan tanggung jawab.</w:t>
      </w:r>
    </w:p>
    <w:p w:rsidR="00D53774" w:rsidRDefault="00D53774" w:rsidP="00D53774">
      <w:pPr>
        <w:ind w:firstLine="709"/>
      </w:pPr>
      <w:r>
        <w:t>Evaluasi juga perlu memperhatikan buah pelayanan, bukan hanya hal yang mudah diukur. Jumlah peserta dan kualitas teknis dapat menjadi informasi, tetapi tidak cukup untuk menilai pertumbuhan iman. Gereja dapat memperhatikan apakah jemaat memahami Firman, terlibat dalam persekutuan, bertumbuh dalam kasih, peduli terhadap yang lemah, dan menjalankan kesaksian Kristen. Penilaian tersebut membutuhkan proses pastoral yang berkelanjutan, bukan kesimpulan berdasarkan satu kali ibadah.</w:t>
      </w:r>
    </w:p>
    <w:p w:rsidR="00D53774" w:rsidRPr="00835BA1" w:rsidRDefault="00D53774" w:rsidP="00D53774">
      <w:pPr>
        <w:pStyle w:val="Heading1"/>
        <w:rPr>
          <w:sz w:val="24"/>
        </w:rPr>
      </w:pPr>
      <w:r w:rsidRPr="00835BA1">
        <w:rPr>
          <w:sz w:val="24"/>
        </w:rPr>
        <w:t>10 Kesimpulan</w:t>
      </w:r>
    </w:p>
    <w:p w:rsidR="00D53774" w:rsidRDefault="00D53774" w:rsidP="00D53774">
      <w:pPr>
        <w:ind w:firstLine="709"/>
      </w:pPr>
      <w:r>
        <w:t>Struktur liturgi dan perencanaan peribadatan dalam tradisi Pentakostal-Kharismatik perlu dipahami melalui landasan Alkitab, teologi, sejarah, dan dogmatika. Secara biblika, ibadah merupakan respons umat kepada Allah dan mencakup kehidupan bersama serta kehidupan sehari-hari. Secara teologis, ibadah berpusat pada Allah Tritunggal, berlandaskan karya Kristus, dihidupkan oleh Roh Kudus, membangun gereja, dan mengarahkan jemaat kepada pengharapan Kerajaan Allah.</w:t>
      </w:r>
    </w:p>
    <w:p w:rsidR="00D53774" w:rsidRDefault="00D53774" w:rsidP="00D53774">
      <w:pPr>
        <w:ind w:firstLine="709"/>
      </w:pPr>
      <w:r>
        <w:t>Secara historis, liturgi gereja berkembang dalam keragaman sejak masa gereja mula-mula, mengalami perubahan pada masa gereja kuno dan Reformasi, serta memperoleh ekspresi yang beragam dalam gerakan Pentakostal-Kharismatik. Secara dogmatis, tradisi gereja memiliki penekanan yang berbeda mengenai Firman, sakramen, karunia Roh, dan bentuk ibadah. Perbedaan tersebut perlu dipelajari secara adil dan tidak dijadikan dasar untuk merendahkan tradisi lain.</w:t>
      </w:r>
    </w:p>
    <w:p w:rsidR="00D53774" w:rsidRDefault="00D53774" w:rsidP="00D53774">
      <w:pPr>
        <w:ind w:firstLine="709"/>
      </w:pPr>
      <w:r>
        <w:t xml:space="preserve">Kebebasan dalam ibadah mencakup ruang bagi ekspresi iman dan karunia Roh, tetapi harus tetap diuji oleh Alkitab, kasih, dan prinsip pembangunan jemaat. Struktur liturgi dan perencanaan tidak dimaksudkan membatasi pekerjaan Roh Kudus, melainkan menolong gereja melayani secara bertanggung jawab. Bentuk ibadah juga perlu memperhatikan konteks gereja besar maupun kecil, perkotaan </w:t>
      </w:r>
      <w:r>
        <w:lastRenderedPageBreak/>
        <w:t>maupun pedesaan, tanpa menganggap ukuran atau lokasi sebagai penentu kualitas rohani. Pada akhirnya, ibadah yang sehat ialah ibadah yang memuliakan Allah, memberitakan Kristus, membangun jemaat, dan mengutus orang percaya untuk hidup sesuai kehendak Tuhan.</w:t>
      </w:r>
    </w:p>
    <w:p w:rsidR="00D53774" w:rsidRDefault="00D53774" w:rsidP="00D53774">
      <w:r>
        <w:br w:type="page"/>
      </w:r>
    </w:p>
    <w:p w:rsidR="00D53774" w:rsidRDefault="00D53774" w:rsidP="00D53774">
      <w:pPr>
        <w:pStyle w:val="Heading1"/>
      </w:pPr>
      <w:r>
        <w:lastRenderedPageBreak/>
        <w:t>CATATAN KAKI</w:t>
      </w:r>
    </w:p>
    <w:p w:rsidR="00D53774" w:rsidRDefault="00D53774" w:rsidP="00D53774">
      <w:pPr>
        <w:spacing w:line="276" w:lineRule="auto"/>
        <w:ind w:left="397" w:hanging="397"/>
      </w:pPr>
      <w:r>
        <w:rPr>
          <w:rFonts w:ascii="Times New Roman" w:hAnsi="Times New Roman"/>
          <w:sz w:val="20"/>
        </w:rPr>
        <w:t>1. Allan Heaton Anderson, An Introduction to Pentecostalism: Global Charismatic Christianity, edisi ke-2 (Cambridge: Cambridge University Press, 2013).</w:t>
      </w:r>
    </w:p>
    <w:p w:rsidR="00D53774" w:rsidRDefault="00D53774" w:rsidP="00D53774">
      <w:pPr>
        <w:spacing w:line="276" w:lineRule="auto"/>
        <w:ind w:left="397" w:hanging="397"/>
      </w:pPr>
      <w:r>
        <w:rPr>
          <w:rFonts w:ascii="Times New Roman" w:hAnsi="Times New Roman"/>
          <w:sz w:val="20"/>
        </w:rPr>
        <w:t>2. Paul F. Bradshaw, “Early Christian Worship,” Oxford Research Encyclopedia of Religion (Oxford: Oxford University Press, 2015), https://doi.org/10.1093/acrefore/9780199340378.013.2.</w:t>
      </w:r>
    </w:p>
    <w:p w:rsidR="00D53774" w:rsidRDefault="00D53774" w:rsidP="00D53774">
      <w:pPr>
        <w:spacing w:line="276" w:lineRule="auto"/>
        <w:ind w:left="397" w:hanging="397"/>
      </w:pPr>
      <w:r>
        <w:rPr>
          <w:rFonts w:ascii="Times New Roman" w:hAnsi="Times New Roman"/>
          <w:sz w:val="20"/>
        </w:rPr>
        <w:t>3. Yustinus Martir, First Apology, 65–67. Rujukan ini merupakan kesaksian Kristen abad kedua mengenai praktik pertemuan jemaat; rincian dan variasi lokal perlu tetap diperhatikan.</w:t>
      </w:r>
    </w:p>
    <w:p w:rsidR="00D53774" w:rsidRDefault="00D53774" w:rsidP="00D53774">
      <w:pPr>
        <w:spacing w:line="276" w:lineRule="auto"/>
        <w:ind w:left="397" w:hanging="397"/>
      </w:pPr>
      <w:r>
        <w:rPr>
          <w:rFonts w:ascii="Times New Roman" w:hAnsi="Times New Roman"/>
          <w:sz w:val="20"/>
        </w:rPr>
        <w:t>4. Allan Heaton Anderson, An Introduction to Pentecostalism: Global Charismatic Christianity, edisi ke-2 (Cambridge: Cambridge University Press, 2013).</w:t>
      </w:r>
    </w:p>
    <w:p w:rsidR="00D53774" w:rsidRDefault="00D53774" w:rsidP="00D53774">
      <w:pPr>
        <w:spacing w:line="276" w:lineRule="auto"/>
        <w:ind w:left="397" w:hanging="397"/>
      </w:pPr>
      <w:r>
        <w:rPr>
          <w:rFonts w:ascii="Times New Roman" w:hAnsi="Times New Roman"/>
          <w:sz w:val="20"/>
        </w:rPr>
        <w:t>5. Frank C. Senn, Christian Liturgy: Catholic and Evangelical (Minneapolis: Fortress Press, 1997).</w:t>
      </w:r>
    </w:p>
    <w:p w:rsidR="00D53774" w:rsidRDefault="00D53774" w:rsidP="00D53774">
      <w:pPr>
        <w:spacing w:line="276" w:lineRule="auto"/>
        <w:ind w:left="397" w:hanging="397"/>
      </w:pPr>
      <w:r>
        <w:rPr>
          <w:rFonts w:ascii="Times New Roman" w:hAnsi="Times New Roman"/>
          <w:sz w:val="20"/>
        </w:rPr>
        <w:t>6. James F. White, Introduction to Christian Worship, edisi ke-3, revisi dan perluasan (Nashville: Abingdon Press, 2000). Untuk edisi Indonesia, lihat James F. White, Pengantar Ibadah Kristen: Introduction to Christian Worship (Jakarta: BPK Gunung Mulia, 2005).</w:t>
      </w:r>
    </w:p>
    <w:p w:rsidR="00D53774" w:rsidRDefault="00D53774" w:rsidP="00D53774">
      <w:pPr>
        <w:spacing w:line="276" w:lineRule="auto"/>
        <w:ind w:left="397" w:hanging="397"/>
      </w:pPr>
      <w:r>
        <w:rPr>
          <w:rFonts w:ascii="Times New Roman" w:hAnsi="Times New Roman"/>
          <w:sz w:val="20"/>
        </w:rPr>
        <w:t>7. Alkitab, Roma 12:1; Yohanes 4:23–24; Efesus 2:18; Ibrani 10:19–25.</w:t>
      </w:r>
    </w:p>
    <w:p w:rsidR="00D53774" w:rsidRDefault="00D53774" w:rsidP="00D53774">
      <w:pPr>
        <w:spacing w:line="276" w:lineRule="auto"/>
        <w:ind w:left="397" w:hanging="397"/>
      </w:pPr>
      <w:r>
        <w:rPr>
          <w:rFonts w:ascii="Times New Roman" w:hAnsi="Times New Roman"/>
          <w:sz w:val="20"/>
        </w:rPr>
        <w:t>8. Alkitab, Kisah Para Rasul 2:42–47; 1 Korintus 12:12–27.</w:t>
      </w:r>
    </w:p>
    <w:p w:rsidR="00D53774" w:rsidRDefault="00D53774" w:rsidP="00D53774">
      <w:pPr>
        <w:spacing w:line="276" w:lineRule="auto"/>
        <w:ind w:left="397" w:hanging="397"/>
      </w:pPr>
      <w:r>
        <w:rPr>
          <w:rFonts w:ascii="Times New Roman" w:hAnsi="Times New Roman"/>
          <w:sz w:val="20"/>
        </w:rPr>
        <w:t>9. Alkitab, 1 Korintus 14:26–40; 1 Tesalonika 5:19–22; Galatia 5:13.</w:t>
      </w:r>
    </w:p>
    <w:p w:rsidR="00D53774" w:rsidRDefault="00D53774" w:rsidP="00D53774">
      <w:pPr>
        <w:spacing w:line="276" w:lineRule="auto"/>
        <w:ind w:left="397" w:hanging="397"/>
      </w:pPr>
      <w:r>
        <w:rPr>
          <w:rFonts w:ascii="Times New Roman" w:hAnsi="Times New Roman"/>
          <w:sz w:val="20"/>
        </w:rPr>
        <w:t>10. Alkitab, Efesus 5:18–20; Kolose 3:16; 2 Timotius 3:16–17.</w:t>
      </w:r>
    </w:p>
    <w:p w:rsidR="00D53774" w:rsidRDefault="00D53774" w:rsidP="00D53774">
      <w:pPr>
        <w:spacing w:line="276" w:lineRule="auto"/>
        <w:ind w:left="397" w:hanging="397"/>
      </w:pPr>
      <w:r>
        <w:rPr>
          <w:rFonts w:ascii="Times New Roman" w:hAnsi="Times New Roman"/>
          <w:sz w:val="20"/>
        </w:rPr>
        <w:t>11. Alkitab, 2 Korintus 9:6–8; 1 Korintus 11:23–26; Matius 28:18–20.</w:t>
      </w:r>
    </w:p>
    <w:p w:rsidR="00D53774" w:rsidRDefault="00D53774" w:rsidP="00D53774">
      <w:pPr>
        <w:pStyle w:val="Heading1"/>
      </w:pPr>
      <w:r>
        <w:t>DAFTAR PUSTAKA</w:t>
      </w:r>
    </w:p>
    <w:p w:rsidR="00D53774" w:rsidRDefault="00D53774" w:rsidP="00D53774">
      <w:pPr>
        <w:spacing w:line="276" w:lineRule="auto"/>
        <w:ind w:left="709" w:hanging="709"/>
      </w:pPr>
      <w:r>
        <w:rPr>
          <w:rFonts w:ascii="Times New Roman" w:hAnsi="Times New Roman"/>
          <w:sz w:val="22"/>
        </w:rPr>
        <w:t>Alkitab. Lembaga Alkitab Indonesia.</w:t>
      </w:r>
    </w:p>
    <w:p w:rsidR="00D53774" w:rsidRDefault="00D53774" w:rsidP="00D53774">
      <w:pPr>
        <w:spacing w:line="276" w:lineRule="auto"/>
        <w:ind w:left="709" w:hanging="709"/>
      </w:pPr>
      <w:r>
        <w:rPr>
          <w:rFonts w:ascii="Times New Roman" w:hAnsi="Times New Roman"/>
          <w:sz w:val="22"/>
        </w:rPr>
        <w:t>Anderson, Allan Heaton. An Introduction to Pentecostalism: Global Charismatic Christianity. Edisi ke-2. Cambridge: Cambridge University Press, 2013.</w:t>
      </w:r>
    </w:p>
    <w:p w:rsidR="00D53774" w:rsidRDefault="00D53774" w:rsidP="00D53774">
      <w:pPr>
        <w:spacing w:line="276" w:lineRule="auto"/>
        <w:ind w:left="709" w:hanging="709"/>
      </w:pPr>
      <w:r>
        <w:rPr>
          <w:rFonts w:ascii="Times New Roman" w:hAnsi="Times New Roman"/>
          <w:sz w:val="22"/>
        </w:rPr>
        <w:t>Bradshaw, Paul F. “Early Christian Worship.” Oxford Research Encyclopedia of Religion. Oxford: Oxford University Press, 2015. https://doi.org/10.1093/acrefore/9780199340378.013.2.</w:t>
      </w:r>
    </w:p>
    <w:p w:rsidR="00D53774" w:rsidRDefault="00D53774" w:rsidP="00D53774">
      <w:pPr>
        <w:spacing w:line="276" w:lineRule="auto"/>
        <w:ind w:left="709" w:hanging="709"/>
      </w:pPr>
      <w:r>
        <w:rPr>
          <w:rFonts w:ascii="Times New Roman" w:hAnsi="Times New Roman"/>
          <w:sz w:val="22"/>
        </w:rPr>
        <w:t>Senn, Frank C. Christian Liturgy: Catholic and Evangelical. Minneapolis: Fortress Press, 1997.</w:t>
      </w:r>
    </w:p>
    <w:p w:rsidR="00D53774" w:rsidRDefault="00D53774" w:rsidP="00D53774">
      <w:pPr>
        <w:spacing w:line="276" w:lineRule="auto"/>
        <w:ind w:left="709" w:hanging="709"/>
      </w:pPr>
      <w:r>
        <w:rPr>
          <w:rFonts w:ascii="Times New Roman" w:hAnsi="Times New Roman"/>
          <w:sz w:val="22"/>
        </w:rPr>
        <w:t>White, James F. Introduction to Christian Worship. Edisi ke-3, revisi dan perluasan. Nashville: Abingdon Press, 2000.</w:t>
      </w:r>
    </w:p>
    <w:p w:rsidR="00D53774" w:rsidRDefault="00D53774" w:rsidP="00D53774">
      <w:pPr>
        <w:spacing w:line="276" w:lineRule="auto"/>
        <w:ind w:left="709" w:hanging="709"/>
      </w:pPr>
      <w:r>
        <w:rPr>
          <w:rFonts w:ascii="Times New Roman" w:hAnsi="Times New Roman"/>
          <w:sz w:val="22"/>
        </w:rPr>
        <w:t>White, James F. Pengantar Ibadah Kristen: Introduction to Christian Worship. Jakarta: BPK Gunung Mulia, 2005.</w:t>
      </w:r>
    </w:p>
    <w:p w:rsidR="00D53774" w:rsidRDefault="00D53774" w:rsidP="00D53774">
      <w:r>
        <w:rPr>
          <w:b/>
          <w:sz w:val="34"/>
        </w:rPr>
        <w:lastRenderedPageBreak/>
        <w:br/>
      </w:r>
    </w:p>
    <w:p w:rsidR="00D53774" w:rsidRPr="00835BA1" w:rsidRDefault="00D53774" w:rsidP="00835BA1">
      <w:pPr>
        <w:jc w:val="center"/>
        <w:rPr>
          <w:rFonts w:ascii="Times New Roman" w:hAnsi="Times New Roman" w:cs="Times New Roman"/>
        </w:rPr>
      </w:pPr>
      <w:r w:rsidRPr="00835BA1">
        <w:rPr>
          <w:rFonts w:ascii="Times New Roman" w:hAnsi="Times New Roman" w:cs="Times New Roman"/>
        </w:rPr>
        <w:t>BAB III</w:t>
      </w:r>
    </w:p>
    <w:p w:rsidR="00D53774" w:rsidRPr="00835BA1" w:rsidRDefault="00D53774" w:rsidP="00835BA1">
      <w:pPr>
        <w:jc w:val="center"/>
        <w:rPr>
          <w:rFonts w:ascii="Times New Roman" w:hAnsi="Times New Roman" w:cs="Times New Roman"/>
        </w:rPr>
      </w:pPr>
      <w:r w:rsidRPr="00835BA1">
        <w:rPr>
          <w:rFonts w:ascii="Times New Roman" w:hAnsi="Times New Roman" w:cs="Times New Roman"/>
          <w:b/>
        </w:rPr>
        <w:t>DINAMIKA MUSIK DAN TIM PUJIAN PENYEMBAHAN</w:t>
      </w:r>
    </w:p>
    <w:p w:rsidR="00D53774" w:rsidRPr="00835BA1" w:rsidRDefault="00D53774" w:rsidP="00835BA1">
      <w:pPr>
        <w:pStyle w:val="Heading1"/>
        <w:rPr>
          <w:sz w:val="24"/>
          <w:szCs w:val="24"/>
        </w:rPr>
      </w:pPr>
      <w:r w:rsidRPr="00835BA1">
        <w:rPr>
          <w:sz w:val="24"/>
          <w:szCs w:val="24"/>
        </w:rPr>
        <w:t>1 Pendahuluan</w:t>
      </w:r>
    </w:p>
    <w:p w:rsidR="00D53774" w:rsidRDefault="00D53774" w:rsidP="00D53774">
      <w:r>
        <w:t>Musik merupakan salah satu bagian penting dalam kehidupan ibadah gereja, termasuk dalam tradisi Pentakostal-Karismatik. Dalam ibadah Pentakostal-Karismatik, musik bukan hanya digunakan untuk membuat suasana ibadah menjadi lebih hidup, tetapi juga menjadi sarana bagi jemaat untuk menyatakan iman, ucapan syukur, pengagungan, doa, dan penyembahan kepada Allah.</w:t>
      </w:r>
    </w:p>
    <w:p w:rsidR="00D53774" w:rsidRDefault="00D53774" w:rsidP="00D53774">
      <w:r>
        <w:t>Pujian dan penyembahan mempunyai hubungan yang erat dengan keterlibatan jemaat. Jemaat tidak hanya menjadi pendengar, tetapi ikut bernyanyi, berdoa, mengangkat tangan, bersyukur, dan memberikan respons kepada Tuhan. Karena itu, tim pujian dan penyembahan mempunyai tanggung jawab untuk menolong jemaat mengikuti ibadah dengan tertib dan terarah.</w:t>
      </w:r>
    </w:p>
    <w:p w:rsidR="00D53774" w:rsidRDefault="00D53774" w:rsidP="00D53774">
      <w:r>
        <w:t>Menurut Bob Sorge, pelayanan pujian dan penyembahan membutuhkan dasar Alkitab sekaligus keterampilan praktis dalam memimpin jemaat. Ia memberi perhatian terhadap kepemimpinan pujian, pembentukan tim, latihan, perencanaan ibadah, dan penggunaan musik.</w:t>
      </w:r>
      <w:r>
        <w:rPr>
          <w:vertAlign w:val="superscript"/>
        </w:rPr>
        <w:footnoteReference w:id="1"/>
      </w:r>
    </w:p>
    <w:p w:rsidR="00D53774" w:rsidRDefault="00D53774" w:rsidP="00D53774">
      <w:r>
        <w:t>Dalam tradisi Pentakostal-Karismatik, musik mempunyai dinamika yang kuat. Bentuk musik dapat berkembang sesuai budaya, generasi, perkembangan teknologi, dan kebutuhan jemaat. Ingalls dan Yong menunjukkan bahwa musik dan ibadah Pentakostal-Karismatik berkembang dalam berbagai konteks budaya di dunia.</w:t>
      </w:r>
      <w:r>
        <w:rPr>
          <w:vertAlign w:val="superscript"/>
        </w:rPr>
        <w:footnoteReference w:id="2"/>
      </w:r>
    </w:p>
    <w:p w:rsidR="00D53774" w:rsidRPr="00835BA1" w:rsidRDefault="00D53774" w:rsidP="00D53774">
      <w:pPr>
        <w:pStyle w:val="Heading1"/>
        <w:rPr>
          <w:sz w:val="24"/>
        </w:rPr>
      </w:pPr>
      <w:r w:rsidRPr="00835BA1">
        <w:rPr>
          <w:sz w:val="24"/>
        </w:rPr>
        <w:t>2 Pengertian Musik dalam Ibadah Pentakostal-Karismatik</w:t>
      </w:r>
    </w:p>
    <w:p w:rsidR="00D53774" w:rsidRDefault="00D53774" w:rsidP="00D53774">
      <w:r>
        <w:t xml:space="preserve">Musik dalam ibadah adalah penggunaan suara, nyanyian, alat musik, ritme, melodi, dan berbagai bentuk ekspresi musikal untuk menolong umat Allah menyatakan </w:t>
      </w:r>
      <w:r>
        <w:lastRenderedPageBreak/>
        <w:t>pujian dan penyembahan kepada-Nya. Musik dapat menjadi sarana untuk menyampaikan kebenaran iman dan membantu jemaat menghayati pesan yang dinyanyikan.</w:t>
      </w:r>
    </w:p>
    <w:p w:rsidR="00D53774" w:rsidRDefault="00D53774" w:rsidP="00D53774">
      <w:r>
        <w:t>Musik bukanlah tujuan utama ibadah. Tujuan utama ibadah adalah Allah. Musik merupakan salah satu sarana untuk membantu jemaat mengarahkan hati dan pikirannya kepada Allah.</w:t>
      </w:r>
    </w:p>
    <w:p w:rsidR="00D53774" w:rsidRDefault="00D53774" w:rsidP="00D53774">
      <w:r>
        <w:t>Warren W. Wiersbe menempatkan musik dan nyanyian sebagai bagian dari kehidupan ibadah, tetapi menekankan bahwa ibadah tidak boleh hanya dinilai dari bentuk luarnya. Ibadah harus membawa manusia semakin mengenal, menghormati, mengasihi, dan menaati Allah.</w:t>
      </w:r>
      <w:r>
        <w:rPr>
          <w:vertAlign w:val="superscript"/>
        </w:rPr>
        <w:footnoteReference w:id="3"/>
      </w:r>
    </w:p>
    <w:p w:rsidR="00D53774" w:rsidRDefault="00D53774" w:rsidP="00D53774">
      <w:r>
        <w:t>Dalam ibadah Pentakostal-Karismatik, musik biasanya memiliki karakter yang ekspresif. Jemaat dapat menyanyi dengan sukacita, bertepuk tangan, mengangkat tangan, berdiri, atau menggunakan ekspresi tubuh lainnya. Ekspresi tersebut dapat menjadi bagian dari respons iman, tetapi tetap perlu diarahkan kepada Allah dan tidak berubah menjadi pertunjukan manusia.</w:t>
      </w:r>
    </w:p>
    <w:p w:rsidR="00D53774" w:rsidRDefault="00D53774" w:rsidP="00D53774">
      <w:r>
        <w:t>Musik juga dapat menjadi media pembelajaran iman. Melalui lagu, jemaat dapat mengingat kebenaran Alkitab, memahami sifat Allah, mengingat karya Kristus, dan menyatakan pengharapan.</w:t>
      </w:r>
    </w:p>
    <w:p w:rsidR="00D53774" w:rsidRPr="00835BA1" w:rsidRDefault="00D53774" w:rsidP="00D53774">
      <w:pPr>
        <w:pStyle w:val="Heading1"/>
        <w:rPr>
          <w:sz w:val="24"/>
        </w:rPr>
      </w:pPr>
      <w:r w:rsidRPr="00835BA1">
        <w:rPr>
          <w:sz w:val="24"/>
        </w:rPr>
        <w:t>3 Dasar Teologis Musik dan Pujian Penyembahan</w:t>
      </w:r>
    </w:p>
    <w:p w:rsidR="00D53774" w:rsidRPr="00835BA1" w:rsidRDefault="00D53774" w:rsidP="00D53774">
      <w:pPr>
        <w:pStyle w:val="Heading2"/>
        <w:rPr>
          <w:sz w:val="24"/>
        </w:rPr>
      </w:pPr>
      <w:r w:rsidRPr="00835BA1">
        <w:rPr>
          <w:sz w:val="24"/>
        </w:rPr>
        <w:t>3.1 Allah sebagai pusat penyembahan</w:t>
      </w:r>
    </w:p>
    <w:p w:rsidR="00D53774" w:rsidRDefault="00D53774" w:rsidP="00D53774">
      <w:r>
        <w:t>Dasar utama penyembahan Kristen adalah Allah sendiri. Penyembahan tidak dilakukan terutama untuk menyenangkan manusia, penyanyi, pemimpin pujian, atau pemain musik. Penyembahan diberikan kepada Allah. Mazmur 96:9 berkata, “Sujudlah menyembah kepada TUHAN dengan berhiaskan kekudusan.”</w:t>
      </w:r>
    </w:p>
    <w:p w:rsidR="00D53774" w:rsidRDefault="00D53774" w:rsidP="00D53774">
      <w:r>
        <w:t>A. W. Tozer menekankan bahwa manusia diciptakan untuk menyembah Allah dan penyembahan yang benar bukan sekadar kegiatan gereja. Penyembahan berkaitan dengan hubungan manusia dengan Allah.</w:t>
      </w:r>
      <w:r>
        <w:rPr>
          <w:vertAlign w:val="superscript"/>
        </w:rPr>
        <w:footnoteReference w:id="4"/>
      </w:r>
    </w:p>
    <w:p w:rsidR="00D53774" w:rsidRPr="00835BA1" w:rsidRDefault="00D53774" w:rsidP="00D53774">
      <w:pPr>
        <w:pStyle w:val="Heading2"/>
        <w:rPr>
          <w:sz w:val="24"/>
        </w:rPr>
      </w:pPr>
      <w:r w:rsidRPr="00835BA1">
        <w:rPr>
          <w:sz w:val="24"/>
        </w:rPr>
        <w:lastRenderedPageBreak/>
        <w:t>3.2 Penyembahan berhubungan dengan kehidupan</w:t>
      </w:r>
    </w:p>
    <w:p w:rsidR="00D53774" w:rsidRDefault="00D53774" w:rsidP="00D53774">
      <w:r>
        <w:t>Penyembahan tidak berhenti ketika lagu selesai dinyanyikan. Penyembahan harus terlihat dalam kehidupan sehari-hari. Roma 12:1 mengajarkan agar orang percaya mempersembahkan tubuhnya sebagai persembahan yang hidup, kudus, dan berkenan kepada Allah.</w:t>
      </w:r>
    </w:p>
    <w:p w:rsidR="00D53774" w:rsidRDefault="00D53774" w:rsidP="00D53774">
      <w:r>
        <w:t>Seseorang tidak dapat disebut sebagai penyembah hanya karena aktif bernyanyi di gereja. Seorang penyembah juga harus menunjukkan kehidupan yang sesuai dengan kehendak Allah. Karakter, perkataan, hubungan dengan sesama, tanggung jawab, dan cara hidup menjadi bagian dari kesaksian seorang pelayan.</w:t>
      </w:r>
    </w:p>
    <w:p w:rsidR="00D53774" w:rsidRPr="00835BA1" w:rsidRDefault="00D53774" w:rsidP="00D53774">
      <w:pPr>
        <w:pStyle w:val="Heading2"/>
        <w:rPr>
          <w:sz w:val="24"/>
        </w:rPr>
      </w:pPr>
      <w:r w:rsidRPr="00835BA1">
        <w:rPr>
          <w:sz w:val="24"/>
        </w:rPr>
        <w:t>3.3 Musik mempunyai dasar Alkitab</w:t>
      </w:r>
    </w:p>
    <w:p w:rsidR="00D53774" w:rsidRDefault="00D53774" w:rsidP="00D53774">
      <w:r>
        <w:t>Alkitab menunjukkan banyak penggunaan musik dalam kehidupan umat Allah. Mazmur 150:3-5 menyebutkan sangkakala, gambus, kecapi, rebana, seruling, dan ceracap. Efesus 5:19 berbicara tentang mazmur, kidung puji-pujian, dan nyanyian rohani.</w:t>
      </w:r>
    </w:p>
    <w:p w:rsidR="00D53774" w:rsidRDefault="00D53774" w:rsidP="00D53774">
      <w:r>
        <w:t>Keberadaan musik dalam Alkitab tidak berarti semua bentuk musik otomatis menjadi ibadah. Penggunaan musik harus diarahkan kepada Allah dan mendukung kehidupan jemaat.</w:t>
      </w:r>
    </w:p>
    <w:p w:rsidR="00D53774" w:rsidRPr="00835BA1" w:rsidRDefault="00D53774" w:rsidP="00D53774">
      <w:pPr>
        <w:pStyle w:val="Heading2"/>
        <w:rPr>
          <w:sz w:val="24"/>
        </w:rPr>
      </w:pPr>
      <w:r w:rsidRPr="00835BA1">
        <w:rPr>
          <w:sz w:val="24"/>
        </w:rPr>
        <w:t>3.4 Penyembahan dan pekerjaan Roh Kudus</w:t>
      </w:r>
    </w:p>
    <w:p w:rsidR="00D53774" w:rsidRDefault="00D53774" w:rsidP="00D53774">
      <w:r>
        <w:t>Dalam tradisi Pentakostal-Karismatik, Roh Kudus mempunyai tempat penting dalam kehidupan ibadah. Pelayanan pujian dan penyembahan tidak hanya mengandalkan kemampuan manusia. Pemimpin pujian perlu mempunyai kepekaan terhadap pekerjaan Roh Kudus.</w:t>
      </w:r>
    </w:p>
    <w:p w:rsidR="00D53774" w:rsidRDefault="00D53774" w:rsidP="00D53774">
      <w:r>
        <w:t>Sorge menghubungkan pelayanan pujian dengan persiapan, kepemimpinan, dan ketergantungan kepada Allah. Kepekaan terhadap Roh Kudus bukan alasan untuk mengabaikan persiapan.</w:t>
      </w:r>
      <w:r>
        <w:rPr>
          <w:vertAlign w:val="superscript"/>
        </w:rPr>
        <w:footnoteReference w:id="5"/>
      </w:r>
    </w:p>
    <w:p w:rsidR="00D53774" w:rsidRDefault="00D53774" w:rsidP="00D53774">
      <w:r>
        <w:t>Persiapan dan kepekaan perlu berjalan bersama. Tim harus berlatih dengan baik, memahami susunan lagu dan ibadah, tetapi tetap terbuka terhadap pimpinan Roh Kudus.</w:t>
      </w:r>
    </w:p>
    <w:p w:rsidR="00D53774" w:rsidRPr="00835BA1" w:rsidRDefault="00D53774" w:rsidP="00D53774">
      <w:pPr>
        <w:pStyle w:val="Heading1"/>
        <w:rPr>
          <w:sz w:val="24"/>
        </w:rPr>
      </w:pPr>
      <w:r w:rsidRPr="00835BA1">
        <w:rPr>
          <w:sz w:val="24"/>
        </w:rPr>
        <w:lastRenderedPageBreak/>
        <w:t>4 Dinamika Musik dalam Ibadah Pentakostal-Karismatik</w:t>
      </w:r>
    </w:p>
    <w:p w:rsidR="00D53774" w:rsidRDefault="00D53774" w:rsidP="00D53774">
      <w:r>
        <w:t>Dinamika musik berarti perubahan dan perkembangan yang terjadi dalam penggunaan musik selama ibadah. Dinamika dapat terlihat melalui tempo, volume, jenis lagu, penggunaan instrumen, pergantian suasana, dan respons jemaat.</w:t>
      </w:r>
    </w:p>
    <w:p w:rsidR="00D53774" w:rsidRDefault="00D53774" w:rsidP="00D53774">
      <w:r>
        <w:t>Pada saat pujian, tempo dapat lebih cepat, musik lebih bersemangat, dan instrumen ritmis dapat lebih menonjol. Pada saat penyembahan, tempo dapat lebih tenang, musik dapat dibuat lebih sederhana, suara vokal lebih terkontrol, dan ruang dapat diberikan kepada jemaat untuk berdoa serta merespons Tuhan.</w:t>
      </w:r>
    </w:p>
    <w:p w:rsidR="00D53774" w:rsidRDefault="00D53774" w:rsidP="00D53774">
      <w:r>
        <w:t>Pembagian tersebut bukan aturan mutlak. Setiap gereja mempunyai tradisi, budaya, dan kebutuhan yang berbeda. Ingalls dan Yong menunjukkan bahwa musik Pentakostal-Karismatik tidak mempunyai satu bentuk tunggal di seluruh dunia, melainkan berkembang dalam konteks budaya yang beragam.</w:t>
      </w:r>
      <w:r>
        <w:rPr>
          <w:vertAlign w:val="superscript"/>
        </w:rPr>
        <w:footnoteReference w:id="6"/>
      </w:r>
    </w:p>
    <w:p w:rsidR="00D53774" w:rsidRDefault="00D53774" w:rsidP="00D53774">
      <w:r>
        <w:t>Musik yang baik tidak selalu berarti musik yang keras. Musik juga dapat menjadi lembut ketika jemaat masuk dalam suasana doa atau perenungan. Dinamika musik seharusnya tidak hanya bertujuan menciptakan suasana emosional, tetapi mendukung isi ibadah.</w:t>
      </w:r>
    </w:p>
    <w:p w:rsidR="00D53774" w:rsidRDefault="00D53774" w:rsidP="00D53774">
      <w:r>
        <w:t>Perubahan dinamika membutuhkan kerja sama antara pemimpin pujian, penyanyi, pemain musik, dan pengatur suara. Kemampuan mendengar dan menyesuaikan diri menjadi penting bagi seluruh anggota tim.</w:t>
      </w:r>
    </w:p>
    <w:p w:rsidR="00D53774" w:rsidRPr="00835BA1" w:rsidRDefault="00D53774" w:rsidP="00D53774">
      <w:pPr>
        <w:pStyle w:val="Heading2"/>
        <w:rPr>
          <w:sz w:val="24"/>
        </w:rPr>
      </w:pPr>
      <w:r w:rsidRPr="00835BA1">
        <w:rPr>
          <w:sz w:val="24"/>
        </w:rPr>
        <w:t>4.1  Dinamika Musik Modern</w:t>
      </w:r>
    </w:p>
    <w:p w:rsidR="00D53774" w:rsidRDefault="00D53774" w:rsidP="00D53774">
      <w:r>
        <w:t>Musik modern dalam ibadah dapat melibatkan band, aransemen kontemporer, pengeras suara, perangkat digital, dan penyajian visual. Perkembangan ini memberi peluang bagi gereja untuk menjangkau generasi berbeda, tetapi juga membawa tantangan, misalnya volume yang terlalu keras, perhatian yang berlebihan pada penampilan, dan lagu yang sulit dinyanyikan bersama.</w:t>
      </w:r>
      <w:r>
        <w:rPr>
          <w:vertAlign w:val="superscript"/>
        </w:rPr>
        <w:footnoteReference w:id="7"/>
      </w:r>
    </w:p>
    <w:p w:rsidR="00D53774" w:rsidRDefault="00D53774" w:rsidP="00D53774">
      <w:r>
        <w:t xml:space="preserve">Penggunaan teknologi sebaiknya mendukung partisipasi jemaat. Tim dapat memilih nada dasar yang nyaman, mengatur volume dengan seimbang, menyediakan lirik </w:t>
      </w:r>
      <w:r>
        <w:lastRenderedPageBreak/>
        <w:t>yang mudah dibaca, dan memberi ruang bagi suara jemaat. Pemimpin pujian juga perlu memastikan bahwa transisi lagu tidak semata-mata mengejar efek emosional. Dengan demikian, pembaruan musikal tetap bertanggung jawab secara teologis dan pastoral.</w:t>
      </w:r>
      <w:r>
        <w:rPr>
          <w:vertAlign w:val="superscript"/>
        </w:rPr>
        <w:footnoteReference w:id="8"/>
      </w:r>
    </w:p>
    <w:p w:rsidR="00D53774" w:rsidRPr="00835BA1" w:rsidRDefault="00D53774" w:rsidP="00D53774">
      <w:pPr>
        <w:pStyle w:val="Heading2"/>
        <w:rPr>
          <w:sz w:val="24"/>
        </w:rPr>
      </w:pPr>
      <w:r w:rsidRPr="00835BA1">
        <w:rPr>
          <w:sz w:val="24"/>
        </w:rPr>
        <w:t>4.2  Perbandingan Musik Gereja dan Musik Dunia</w:t>
      </w:r>
    </w:p>
    <w:p w:rsidR="00D53774" w:rsidRDefault="00D53774" w:rsidP="00D53774">
      <w:r>
        <w:t>Musik gereja dan musik dunia dapat memakai unsur musikal yang sama, seperti melodi, ritme, harmoni, serta instrumen. Perbedaan utama tidak selalu terletak pada jenis alat musik, tetapi pada tujuan, isi lirik, konteks penggunaan, dan pesan yang disampaikan. Musik dalam ibadah diarahkan untuk memuliakan Allah dan membantu jemaat berpartisipasi dalam penyembahan, sedangkan musik populer di luar ibadah dapat memiliki berbagai tujuan, termasuk hiburan, ekspresi pribadi, dan kritik sosial.</w:t>
      </w:r>
      <w:r>
        <w:rPr>
          <w:vertAlign w:val="superscript"/>
        </w:rPr>
        <w:footnoteReference w:id="9"/>
      </w:r>
    </w:p>
    <w:p w:rsidR="00D53774" w:rsidRDefault="00D53774" w:rsidP="00D53774">
      <w:r>
        <w:t>Karena itu, gereja tidak perlu langsung menolak sebuah gaya musik hanya karena digunakan di luar gereja. Namun, gereja tetap harus menilai kesesuaian isi lagu dengan Alkitab, kepantasan penyajiannya, kemampuan jemaat mengikutinya, serta dampaknya bagi kehidupan bersama. Kajian Ingalls dan Yong memperlihatkan bahwa musik Pentakostal-Karismatik berinteraksi dengan budaya musik di berbagai tempat, sehingga pertimbangan teologis dan budaya perlu berjalan bersama.</w:t>
      </w:r>
      <w:r>
        <w:rPr>
          <w:vertAlign w:val="superscript"/>
        </w:rPr>
        <w:footnoteReference w:id="10"/>
      </w:r>
    </w:p>
    <w:p w:rsidR="00D53774" w:rsidRPr="00835BA1" w:rsidRDefault="00D53774" w:rsidP="00D53774">
      <w:pPr>
        <w:pStyle w:val="Heading1"/>
        <w:rPr>
          <w:sz w:val="24"/>
        </w:rPr>
      </w:pPr>
      <w:r w:rsidRPr="00835BA1">
        <w:rPr>
          <w:sz w:val="24"/>
        </w:rPr>
        <w:t>5 Komunikasi Seorang Pemimpin Pujian dan Penyembahan</w:t>
      </w:r>
    </w:p>
    <w:p w:rsidR="00D53774" w:rsidRDefault="00D53774" w:rsidP="00D53774">
      <w:r>
        <w:t>Seorang pemimpin pujian mempunyai tugas membantu jemaat mengikuti alur ibadah. Karena itu, komunikasi menjadi salah satu kemampuan penting.</w:t>
      </w:r>
    </w:p>
    <w:p w:rsidR="00D53774" w:rsidRPr="00835BA1" w:rsidRDefault="00D53774" w:rsidP="00D53774">
      <w:pPr>
        <w:pStyle w:val="Heading2"/>
        <w:rPr>
          <w:sz w:val="24"/>
        </w:rPr>
      </w:pPr>
      <w:r w:rsidRPr="00835BA1">
        <w:rPr>
          <w:sz w:val="24"/>
        </w:rPr>
        <w:t>5.1 Komunikasi verbal</w:t>
      </w:r>
    </w:p>
    <w:p w:rsidR="00D53774" w:rsidRDefault="00D53774" w:rsidP="00D53774">
      <w:r>
        <w:lastRenderedPageBreak/>
        <w:t>Komunikasi verbal adalah komunikasi melalui kata-kata. Pemimpin pujian dapat mengajak jemaat untuk bersyukur, menyanyi, berdoa, atau merenungkan isi lagu. Kata-kata harus jelas, singkat, sopan, dan sesuai konteks.</w:t>
      </w:r>
    </w:p>
    <w:p w:rsidR="00D53774" w:rsidRDefault="00D53774" w:rsidP="00D53774">
      <w:r>
        <w:t>Pemimpin pujian tidak perlu berbicara terlalu banyak. Jika terlalu banyak berbicara, perhatian jemaat dapat berpindah dari Tuhan kepada pemimpin.</w:t>
      </w:r>
    </w:p>
    <w:p w:rsidR="00D53774" w:rsidRPr="00835BA1" w:rsidRDefault="00D53774" w:rsidP="00D53774">
      <w:pPr>
        <w:pStyle w:val="Heading2"/>
        <w:rPr>
          <w:sz w:val="24"/>
        </w:rPr>
      </w:pPr>
      <w:r w:rsidRPr="00835BA1">
        <w:rPr>
          <w:sz w:val="24"/>
        </w:rPr>
        <w:t>5.2 Komunikasi nonverbal</w:t>
      </w:r>
    </w:p>
    <w:p w:rsidR="00D53774" w:rsidRDefault="00D53774" w:rsidP="00D53774">
      <w:r>
        <w:t>Komunikasi nonverbal dilakukan melalui gerakan tangan, ekspresi wajah, kontak mata, posisi tubuh, dan tanda kepada pemain musik. Komunikasi nonverbal yang jelas membantu anggota tim memahami arahan.</w:t>
      </w:r>
    </w:p>
    <w:p w:rsidR="00D53774" w:rsidRPr="00835BA1" w:rsidRDefault="00D53774" w:rsidP="00D53774">
      <w:pPr>
        <w:pStyle w:val="Heading2"/>
        <w:rPr>
          <w:sz w:val="24"/>
        </w:rPr>
      </w:pPr>
      <w:r w:rsidRPr="00835BA1">
        <w:rPr>
          <w:sz w:val="24"/>
        </w:rPr>
        <w:t>5.3 Komunikasi dengan tim musik</w:t>
      </w:r>
    </w:p>
    <w:p w:rsidR="00D53774" w:rsidRDefault="00D53774" w:rsidP="00D53774">
      <w:r>
        <w:t>Sebelum ibadah, tim perlu memahami daftar lagu, nada dasar, urutan lagu, tempo, intro, interlude, bagian yang diulang, ending, dan transisi antar lagu.</w:t>
      </w:r>
    </w:p>
    <w:p w:rsidR="00D53774" w:rsidRDefault="00D53774" w:rsidP="00D53774">
      <w:r>
        <w:t>Menurut Sorge, tim pelayanan pujian membutuhkan persiapan dan pembagian tugas agar pelayanan berjalan terarah.</w:t>
      </w:r>
      <w:r>
        <w:rPr>
          <w:vertAlign w:val="superscript"/>
        </w:rPr>
        <w:footnoteReference w:id="11"/>
      </w:r>
    </w:p>
    <w:p w:rsidR="00D53774" w:rsidRPr="00835BA1" w:rsidRDefault="00D53774" w:rsidP="00D53774">
      <w:pPr>
        <w:pStyle w:val="Heading1"/>
        <w:rPr>
          <w:sz w:val="24"/>
        </w:rPr>
      </w:pPr>
      <w:r w:rsidRPr="00835BA1">
        <w:rPr>
          <w:sz w:val="24"/>
        </w:rPr>
        <w:t>6 Hubungan Pemimpin Pujian dengan Jemaat</w:t>
      </w:r>
    </w:p>
    <w:p w:rsidR="00D53774" w:rsidRDefault="00D53774" w:rsidP="00D53774">
      <w:r>
        <w:t>Pemimpin pujian bukanlah seorang artis yang tampil di depan jemaat. Ia adalah seorang pelayan yang membantu jemaat beribadah kepada Allah.</w:t>
      </w:r>
    </w:p>
    <w:p w:rsidR="00D53774" w:rsidRDefault="00D53774" w:rsidP="00D53774">
      <w:r>
        <w:t>Pemimpin pujian perlu menghindari sikap mencari perhatian, ingin dipuji, menjadikan panggung sebagai tempat menunjukkan kemampuan, terlalu banyak berbicara, atau memaksakan ekspresi tertentu kepada jemaat.</w:t>
      </w:r>
    </w:p>
    <w:p w:rsidR="00D53774" w:rsidRDefault="00D53774" w:rsidP="00D53774">
      <w:r>
        <w:t>Judson Cornwall memberikan perhatian pada pujian dan penyembahan sebagai respons manusia kepada Allah serta pentingnya menolong orang lain masuk dalam penyembahan.</w:t>
      </w:r>
      <w:r>
        <w:rPr>
          <w:vertAlign w:val="superscript"/>
        </w:rPr>
        <w:footnoteReference w:id="12"/>
      </w:r>
    </w:p>
    <w:p w:rsidR="00D53774" w:rsidRDefault="00D53774" w:rsidP="00D53774">
      <w:r>
        <w:lastRenderedPageBreak/>
        <w:t>Pemimpin pujian seharusnya memberikan contoh bahwa seluruh jemaat sedang mengarahkan perhatian kepada Tuhan. Ia perlu memimpin dengan tenang, jelas, dan penuh kerendahan hati.</w:t>
      </w:r>
    </w:p>
    <w:p w:rsidR="00D53774" w:rsidRPr="00835BA1" w:rsidRDefault="00D53774" w:rsidP="00D53774">
      <w:pPr>
        <w:pStyle w:val="Heading1"/>
        <w:rPr>
          <w:sz w:val="24"/>
        </w:rPr>
      </w:pPr>
      <w:r w:rsidRPr="00835BA1">
        <w:rPr>
          <w:sz w:val="24"/>
        </w:rPr>
        <w:t>7 Instrumen Musik dalam Penyembahan</w:t>
      </w:r>
    </w:p>
    <w:p w:rsidR="00D53774" w:rsidRDefault="00D53774" w:rsidP="00D53774">
      <w:r>
        <w:t>Instrumen musik merupakan alat yang membantu menghasilkan dan memperkuat musik dalam ibadah. Instrumen dapat memperkaya warna musik dan membantu jemaat mengikuti lagu.</w:t>
      </w:r>
    </w:p>
    <w:p w:rsidR="00D53774" w:rsidRDefault="00D53774" w:rsidP="00D53774">
      <w:r>
        <w:t>1. Keyboard atau piano. Keyboard dapat memainkan melodi, akor, dan membantu menjaga harmoni.</w:t>
      </w:r>
    </w:p>
    <w:p w:rsidR="00D53774" w:rsidRDefault="00D53774" w:rsidP="00D53774">
      <w:r>
        <w:t>2. Gitar. Gitar dapat digunakan untuk mengiringi nyanyian jemaat.</w:t>
      </w:r>
    </w:p>
    <w:p w:rsidR="00D53774" w:rsidRDefault="00D53774" w:rsidP="00D53774">
      <w:r>
        <w:t>3. Bass. Bass memberikan dasar nada dan mendukung ritme bersama drum.</w:t>
      </w:r>
    </w:p>
    <w:p w:rsidR="00D53774" w:rsidRDefault="00D53774" w:rsidP="00D53774">
      <w:r>
        <w:t>4. Drum. Drum berfungsi memperkuat ritme dan membantu membangun semangat jemaat.</w:t>
      </w:r>
    </w:p>
    <w:p w:rsidR="00D53774" w:rsidRDefault="00D53774" w:rsidP="00D53774">
      <w:r>
        <w:t>5. Cajon. Cajon dapat menjadi alternatif alat ritmis yang lebih sederhana.</w:t>
      </w:r>
    </w:p>
    <w:p w:rsidR="00D53774" w:rsidRDefault="00D53774" w:rsidP="00D53774">
      <w:r>
        <w:t>6. Instrumen lain. Gereja dapat menggunakan biola, gitar klasik, saksofon, flute, perkusi, dan instrumen lainnya sesuai kebutuhan.</w:t>
      </w:r>
    </w:p>
    <w:p w:rsidR="00D53774" w:rsidRDefault="00D53774" w:rsidP="00D53774">
      <w:r>
        <w:t>Mazmur 150 menunjukkan bahwa umat Allah menggunakan berbagai alat musik dalam memuji Tuhan. Persoalannya bukan apakah sebuah instrumen “rohani” atau “tidak rohani”, melainkan bagaimana instrumen tersebut digunakan.</w:t>
      </w:r>
    </w:p>
    <w:p w:rsidR="00D53774" w:rsidRDefault="00D53774" w:rsidP="00D53774">
      <w:r>
        <w:t>Sorge juga memasukkan penggunaan musik dan instrumen sebagai bagian dari pelayanan yang perlu dipersiapkan dengan baik.</w:t>
      </w:r>
      <w:r>
        <w:rPr>
          <w:vertAlign w:val="superscript"/>
        </w:rPr>
        <w:footnoteReference w:id="13"/>
      </w:r>
    </w:p>
    <w:p w:rsidR="00D53774" w:rsidRPr="00835BA1" w:rsidRDefault="00D53774" w:rsidP="00D53774">
      <w:pPr>
        <w:pStyle w:val="Heading2"/>
        <w:rPr>
          <w:sz w:val="24"/>
        </w:rPr>
      </w:pPr>
      <w:r w:rsidRPr="00835BA1">
        <w:rPr>
          <w:sz w:val="24"/>
        </w:rPr>
        <w:t>7.1 Kontekstualisasi Musik dalam Ibadah</w:t>
      </w:r>
    </w:p>
    <w:p w:rsidR="00D53774" w:rsidRDefault="00D53774" w:rsidP="00D53774">
      <w:r>
        <w:t xml:space="preserve">Kontekstualisasi berarti menyampaikan dan menghayati iman Kristen dalam bahasa, simbol, dan ekspresi budaya yang dapat dipahami oleh suatu komunitas, sambil tetap menguji kesesuaiannya dengan ajaran Alkitab. Dalam musik gereja, </w:t>
      </w:r>
      <w:r>
        <w:lastRenderedPageBreak/>
        <w:t>kontekstualisasi dapat tampak pada penggunaan bahasa daerah, pola melodi lokal, instrumen tradisional, atau cara bernyanyi yang akrab bagi jemaat.</w:t>
      </w:r>
      <w:r>
        <w:rPr>
          <w:vertAlign w:val="superscript"/>
        </w:rPr>
        <w:footnoteReference w:id="14"/>
      </w:r>
    </w:p>
    <w:p w:rsidR="00D53774" w:rsidRDefault="00D53774" w:rsidP="00D53774">
      <w:r>
        <w:t>Kontekstualisasi bukan berarti menerima semua unsur budaya tanpa pertimbangan, dan juga bukan berarti menghilangkan identitas budaya jemaat. Gereja dapat menilai sebuah bentuk musik melalui pertanyaan: Apakah isi lagunya sesuai dengan iman Kristen? Apakah jemaat dapat berpartisipasi? Apakah bentuk itu menghormati masyarakat setempat? Apakah musik tersebut menolong jemaat berdoa dan menyembah? C. Michael Hawn mengulas pentingnya nyanyian jemaat dalam perjumpaan dengan tradisi Kristen dari berbagai budaya.</w:t>
      </w:r>
      <w:r>
        <w:rPr>
          <w:vertAlign w:val="superscript"/>
        </w:rPr>
        <w:footnoteReference w:id="15"/>
      </w:r>
    </w:p>
    <w:p w:rsidR="00D53774" w:rsidRPr="00835BA1" w:rsidRDefault="00D53774" w:rsidP="00D53774">
      <w:pPr>
        <w:pStyle w:val="Heading2"/>
        <w:rPr>
          <w:sz w:val="24"/>
        </w:rPr>
      </w:pPr>
      <w:r w:rsidRPr="00835BA1">
        <w:rPr>
          <w:sz w:val="24"/>
        </w:rPr>
        <w:t>7.2 Memasukkan Alat Musik Tradisional Lokal</w:t>
      </w:r>
    </w:p>
    <w:p w:rsidR="00D53774" w:rsidRDefault="00D53774" w:rsidP="00D53774">
      <w:r>
        <w:t>Gereja di Indonesia dapat mempertimbangkan alat musik lokal, misalnya angklung, gamelan, kolintang, sasando, tifa, atau alat perkusi daerah, sesuai dengan budaya dan kemampuan jemaat. Penggunaan alat musik tradisional bukan sekadar hiasan, melainkan dapat menjadi cara agar jemaat mengungkapkan iman dengan bahasa musikal yang akrab bagi komunitasnya.</w:t>
      </w:r>
      <w:r>
        <w:rPr>
          <w:vertAlign w:val="superscript"/>
        </w:rPr>
        <w:footnoteReference w:id="16"/>
      </w:r>
    </w:p>
    <w:p w:rsidR="00D53774" w:rsidRDefault="00D53774" w:rsidP="00D53774">
      <w:r>
        <w:t>Langkah penerapannya dapat dimulai dengan mengenali fungsi dan karakter instrumen setempat, berdialog dengan pemusik lokal, memilih lagu yang sesuai, lalu mencoba aransemen sederhana dalam latihan. Pemimpin pujian perlu memastikan bahwa pola ritme, tangga nada, dan volume alat tradisional berpadu dengan nyanyian jemaat. Gereja juga perlu menghormati makna budaya instrumen tersebut dan tidak menganggap seluruh tradisi lokal otomatis sama dengan penyembahan Kristen.</w:t>
      </w:r>
      <w:r>
        <w:rPr>
          <w:vertAlign w:val="superscript"/>
        </w:rPr>
        <w:footnoteReference w:id="17"/>
      </w:r>
    </w:p>
    <w:p w:rsidR="00D53774" w:rsidRPr="00835BA1" w:rsidRDefault="00D53774" w:rsidP="00D53774">
      <w:pPr>
        <w:pStyle w:val="Heading1"/>
        <w:rPr>
          <w:sz w:val="28"/>
        </w:rPr>
      </w:pPr>
      <w:r w:rsidRPr="00835BA1">
        <w:rPr>
          <w:sz w:val="28"/>
        </w:rPr>
        <w:t>8 Kriteria Instrumen Musik dalam Penyembahan</w:t>
      </w:r>
    </w:p>
    <w:p w:rsidR="00D53774" w:rsidRDefault="00D53774" w:rsidP="00D53774">
      <w:r>
        <w:t>Pertama, instrumen harus mendukung nyanyian jemaat.</w:t>
      </w:r>
    </w:p>
    <w:p w:rsidR="00D53774" w:rsidRDefault="00D53774" w:rsidP="00D53774">
      <w:r>
        <w:lastRenderedPageBreak/>
        <w:t>Kedua, instrumen tidak boleh mendominasi suara jemaat atau pesan lagu.</w:t>
      </w:r>
    </w:p>
    <w:p w:rsidR="00D53774" w:rsidRDefault="00D53774" w:rsidP="00D53774">
      <w:r>
        <w:t>Ketiga, instrumen harus sesuai dengan karakter lagu.</w:t>
      </w:r>
    </w:p>
    <w:p w:rsidR="00D53774" w:rsidRDefault="00D53774" w:rsidP="00D53774">
      <w:r>
        <w:t>Keempat, pemain harus mempunyai kemampuan yang memadai.</w:t>
      </w:r>
    </w:p>
    <w:p w:rsidR="00D53774" w:rsidRDefault="00D53774" w:rsidP="00D53774">
      <w:r>
        <w:t>Kelima, pemain harus mampu mengikuti dinamika.</w:t>
      </w:r>
    </w:p>
    <w:p w:rsidR="00D53774" w:rsidRDefault="00D53774" w:rsidP="00D53774">
      <w:r>
        <w:t>Keenam, instrumen harus mendukung tujuan ibadah dan bukan menjadi pusat perhatian.</w:t>
      </w:r>
    </w:p>
    <w:p w:rsidR="00D53774" w:rsidRDefault="00D53774" w:rsidP="00D53774">
      <w:r>
        <w:t>Ketujuh, pemilihan instrumen perlu memperhatikan konteks jemaat.</w:t>
      </w:r>
    </w:p>
    <w:p w:rsidR="00D53774" w:rsidRDefault="00D53774" w:rsidP="00D53774">
      <w:r>
        <w:t>Wiersbe menekankan bahwa unsur-unsur ibadah harus ditempatkan dalam tujuan ibadah yang benar. Prinsip ini membantu gereja menilai penggunaan musik berdasarkan manfaatnya bagi ibadah, bukan sekadar berdasarkan kemeriahan.</w:t>
      </w:r>
      <w:r>
        <w:rPr>
          <w:vertAlign w:val="superscript"/>
        </w:rPr>
        <w:footnoteReference w:id="18"/>
      </w:r>
    </w:p>
    <w:p w:rsidR="00D53774" w:rsidRPr="00835BA1" w:rsidRDefault="00D53774" w:rsidP="00D53774">
      <w:pPr>
        <w:pStyle w:val="Heading1"/>
        <w:rPr>
          <w:sz w:val="24"/>
        </w:rPr>
      </w:pPr>
      <w:r w:rsidRPr="00835BA1">
        <w:rPr>
          <w:sz w:val="24"/>
        </w:rPr>
        <w:t>9 Tim Pujian dan Penyembahan</w:t>
      </w:r>
    </w:p>
    <w:p w:rsidR="00D53774" w:rsidRDefault="00D53774" w:rsidP="00D53774">
      <w:r>
        <w:t>Tim pujian dan penyembahan adalah sekelompok pelayan yang bekerja sama untuk membantu jemaat mengikuti ibadah melalui nyanyian dan musik. Tim dapat terdiri dari pemimpin pujian, penyanyi latar, pemain keyboard, gitaris, bassis, drummer, pemain instrumen lainnya, serta tim multimedia dan suara.</w:t>
      </w:r>
    </w:p>
    <w:p w:rsidR="00D53774" w:rsidRDefault="00D53774" w:rsidP="00D53774">
      <w:r>
        <w:t>Jumlah anggota dapat disesuaikan dengan kebutuhan gereja. Gereja kecil tidak harus memiliki tim besar. Yang paling penting adalah kesatuan tujuan dan kemampuan bekerja sama.</w:t>
      </w:r>
    </w:p>
    <w:p w:rsidR="00D53774" w:rsidRDefault="00D53774" w:rsidP="00D53774">
      <w:r>
        <w:t>Menurut Sorge, tim pelayanan pujian membutuhkan persiapan, komunikasi, pembagian tugas, latihan, dan kesatuan hati.</w:t>
      </w:r>
      <w:r>
        <w:rPr>
          <w:vertAlign w:val="superscript"/>
        </w:rPr>
        <w:footnoteReference w:id="19"/>
      </w:r>
    </w:p>
    <w:p w:rsidR="00D53774" w:rsidRPr="00C731CF" w:rsidRDefault="00D53774" w:rsidP="00D53774">
      <w:pPr>
        <w:pStyle w:val="Heading1"/>
        <w:rPr>
          <w:sz w:val="24"/>
        </w:rPr>
      </w:pPr>
      <w:r w:rsidRPr="00C731CF">
        <w:rPr>
          <w:sz w:val="24"/>
        </w:rPr>
        <w:t>10 Kriteria Tim Pujian dan Penyembahan</w:t>
      </w:r>
    </w:p>
    <w:p w:rsidR="00D53774" w:rsidRPr="00C731CF" w:rsidRDefault="00D53774" w:rsidP="00D53774">
      <w:pPr>
        <w:pStyle w:val="Heading2"/>
        <w:rPr>
          <w:sz w:val="24"/>
        </w:rPr>
      </w:pPr>
      <w:r w:rsidRPr="00C731CF">
        <w:rPr>
          <w:sz w:val="24"/>
        </w:rPr>
        <w:t>10.1 Memiliki kehidupan rohani</w:t>
      </w:r>
    </w:p>
    <w:p w:rsidR="00D53774" w:rsidRDefault="00D53774" w:rsidP="00D53774">
      <w:r>
        <w:t>Pelayan musik bukan hanya orang yang pandai memainkan alat musik. Kehidupan rohani, doa, pembacaan Alkitab, pertumbuhan iman, dan tanggung jawab menjadi bagian penting.</w:t>
      </w:r>
    </w:p>
    <w:p w:rsidR="00D53774" w:rsidRPr="00C731CF" w:rsidRDefault="00D53774" w:rsidP="00D53774">
      <w:pPr>
        <w:pStyle w:val="Heading2"/>
        <w:rPr>
          <w:sz w:val="24"/>
        </w:rPr>
      </w:pPr>
      <w:r w:rsidRPr="00C731CF">
        <w:rPr>
          <w:sz w:val="24"/>
        </w:rPr>
        <w:lastRenderedPageBreak/>
        <w:t>10.2 Memiliki karakter yang baik</w:t>
      </w:r>
    </w:p>
    <w:p w:rsidR="00D53774" w:rsidRDefault="00D53774" w:rsidP="00D53774">
      <w:r>
        <w:t>Anggota tim perlu memiliki kerendahan hati, tanggung jawab, kesetiaan, disiplin, kemampuan bekerja sama, dan kemauan menerima nasihat.</w:t>
      </w:r>
    </w:p>
    <w:p w:rsidR="00D53774" w:rsidRPr="00C731CF" w:rsidRDefault="00D53774" w:rsidP="00D53774">
      <w:pPr>
        <w:pStyle w:val="Heading2"/>
        <w:rPr>
          <w:sz w:val="24"/>
        </w:rPr>
      </w:pPr>
      <w:r w:rsidRPr="00C731CF">
        <w:rPr>
          <w:sz w:val="24"/>
        </w:rPr>
        <w:t>10.3 Memiliki kemampuan musik</w:t>
      </w:r>
    </w:p>
    <w:p w:rsidR="00D53774" w:rsidRDefault="00D53774" w:rsidP="00D53774">
      <w:r>
        <w:t>Kemampuan musik tetap penting. Pelayan perlu terus belajar dalam vokal, tempo, ritme, harmoni, akor, struktur lagu, dan mengikuti pemimpin.</w:t>
      </w:r>
    </w:p>
    <w:p w:rsidR="00D53774" w:rsidRPr="00C731CF" w:rsidRDefault="00D53774" w:rsidP="00D53774">
      <w:pPr>
        <w:pStyle w:val="Heading2"/>
        <w:rPr>
          <w:sz w:val="24"/>
        </w:rPr>
      </w:pPr>
      <w:r w:rsidRPr="00C731CF">
        <w:rPr>
          <w:sz w:val="24"/>
        </w:rPr>
        <w:t>10.4 Mampu bekerja sama</w:t>
      </w:r>
    </w:p>
    <w:p w:rsidR="00D53774" w:rsidRDefault="00D53774" w:rsidP="00D53774">
      <w:r>
        <w:t>Keyboard harus mendengarkan drum, gitar mendengarkan bass, dan penyanyi mendengarkan pemimpin pujian. Kesatuan musik membutuhkan kemampuan saling mendengarkan.</w:t>
      </w:r>
    </w:p>
    <w:p w:rsidR="00D53774" w:rsidRPr="00C731CF" w:rsidRDefault="00D53774" w:rsidP="00D53774">
      <w:pPr>
        <w:pStyle w:val="Heading2"/>
        <w:rPr>
          <w:sz w:val="24"/>
        </w:rPr>
      </w:pPr>
      <w:r w:rsidRPr="00C731CF">
        <w:rPr>
          <w:sz w:val="24"/>
        </w:rPr>
        <w:t>10.5 Memiliki kerendahan hati</w:t>
      </w:r>
    </w:p>
    <w:p w:rsidR="00D53774" w:rsidRDefault="00D53774" w:rsidP="00D53774">
      <w:r>
        <w:t>Pelayanan musik dapat membuat seseorang mudah mendapatkan perhatian. Karena itu, kerendahan hati sangat penting.</w:t>
      </w:r>
    </w:p>
    <w:p w:rsidR="00D53774" w:rsidRPr="00C731CF" w:rsidRDefault="00D53774" w:rsidP="00D53774">
      <w:pPr>
        <w:pStyle w:val="Heading2"/>
        <w:rPr>
          <w:sz w:val="24"/>
        </w:rPr>
      </w:pPr>
      <w:r w:rsidRPr="00C731CF">
        <w:rPr>
          <w:sz w:val="24"/>
        </w:rPr>
        <w:t>10.6 Bertanggung jawab dan disiplin</w:t>
      </w:r>
    </w:p>
    <w:p w:rsidR="00D53774" w:rsidRDefault="00D53774" w:rsidP="00D53774">
      <w:r>
        <w:t>Anggota tim perlu datang tepat waktu, mengikuti latihan, mempersiapkan lagu, dan menjaga komunikasi.</w:t>
      </w:r>
    </w:p>
    <w:p w:rsidR="00D53774" w:rsidRPr="00DE6205" w:rsidRDefault="00D53774" w:rsidP="00D53774">
      <w:pPr>
        <w:pStyle w:val="Heading2"/>
        <w:rPr>
          <w:sz w:val="24"/>
        </w:rPr>
      </w:pPr>
      <w:r w:rsidRPr="00DE6205">
        <w:rPr>
          <w:sz w:val="24"/>
        </w:rPr>
        <w:t>10.7 Bersedia terus belajar</w:t>
      </w:r>
    </w:p>
    <w:p w:rsidR="00D53774" w:rsidRDefault="00D53774" w:rsidP="00D53774">
      <w:r>
        <w:t>Perkembangan musik dan teknologi berlangsung cepat. Anggota tim perlu terus belajar tentang musik, teologi ibadah, komunikasi, kepemimpinan, dan pelayanan.</w:t>
      </w:r>
    </w:p>
    <w:p w:rsidR="00D53774" w:rsidRDefault="00D53774" w:rsidP="00D53774">
      <w:r>
        <w:t>Tozer mengingatkan bahwa penyembahan harus berpusat kepada Allah, bukan kepada manusia. Prinsip ini dapat diterapkan pada tim pujian agar pelayanan tidak berubah menjadi tempat mencari kemuliaan pribadi.</w:t>
      </w:r>
      <w:r>
        <w:rPr>
          <w:vertAlign w:val="superscript"/>
        </w:rPr>
        <w:footnoteReference w:id="20"/>
      </w:r>
    </w:p>
    <w:p w:rsidR="00D53774" w:rsidRPr="00DE6205" w:rsidRDefault="00D53774" w:rsidP="00D53774">
      <w:pPr>
        <w:pStyle w:val="Heading1"/>
        <w:rPr>
          <w:sz w:val="24"/>
        </w:rPr>
      </w:pPr>
      <w:r w:rsidRPr="00DE6205">
        <w:rPr>
          <w:sz w:val="24"/>
        </w:rPr>
        <w:t>11 Latihan Tim Pujian dan Penyembahan</w:t>
      </w:r>
    </w:p>
    <w:p w:rsidR="00D53774" w:rsidRDefault="00D53774" w:rsidP="00D53774">
      <w:r>
        <w:lastRenderedPageBreak/>
        <w:t>Latihan merupakan bagian penting dari pelayanan. Latihan bukan tanda bahwa seseorang kurang rohani. Sebaliknya, latihan menunjukkan tanggung jawab terhadap pelayanan.</w:t>
      </w:r>
    </w:p>
    <w:p w:rsidR="00D53774" w:rsidRDefault="00D53774" w:rsidP="00D53774">
      <w:r>
        <w:t>Dalam latihan, tim dapat mempersiapkan lagu, nada dasar, tempo, intro, interlude, ending, transisi, dinamika, tanda dari pemimpin pujian, dan pembagian suara.</w:t>
      </w:r>
    </w:p>
    <w:p w:rsidR="00D53774" w:rsidRDefault="00D53774" w:rsidP="00D53774">
      <w:r>
        <w:t>Latihan juga menjadi tempat membangun komunikasi dan kesatuan. Evaluasi setelah pelayanan dapat dilakukan untuk membicarakan hal-hal yang sudah baik dan yang perlu diperbaiki tanpa saling menyalahkan.</w:t>
      </w:r>
    </w:p>
    <w:p w:rsidR="00D53774" w:rsidRPr="00DE6205" w:rsidRDefault="00D53774" w:rsidP="00D53774">
      <w:pPr>
        <w:pStyle w:val="Heading2"/>
        <w:rPr>
          <w:sz w:val="32"/>
        </w:rPr>
      </w:pPr>
      <w:r w:rsidRPr="00DE6205">
        <w:rPr>
          <w:sz w:val="32"/>
        </w:rPr>
        <w:t>11.1 Manajemen Pujian dan Penyembahan</w:t>
      </w:r>
    </w:p>
    <w:p w:rsidR="00D53774" w:rsidRDefault="00D53774" w:rsidP="00D53774">
      <w:r>
        <w:t>Manajemen pujian dan penyembahan adalah proses merencanakan, mengorganisasi, melaksanakan, dan mengevaluasi pelayanan musik agar berjalan tertib serta mendukung tujuan ibadah. Manajemen tidak dimaksudkan untuk menggantikan pekerjaan Roh Kudus, tetapi untuk membantu tim melayani dengan bertanggung jawab.</w:t>
      </w:r>
      <w:r>
        <w:rPr>
          <w:vertAlign w:val="superscript"/>
        </w:rPr>
        <w:footnoteReference w:id="21"/>
      </w:r>
    </w:p>
    <w:p w:rsidR="00D53774" w:rsidRDefault="00D53774" w:rsidP="00D53774">
      <w:r>
        <w:t>Pada tahap perencanaan, koordinator menetapkan jadwal pelayanan, memilih lagu sesuai tema ibadah, menentukan nada dasar, dan menyiapkan kebutuhan alat serta teknis suara. Pada tahap pengorganisasian, setiap anggota diberi tugas yang jelas: pemimpin pujian, penyanyi, pemusik, pengatur suara, dan multimedia. Saat pelaksanaan, tim mengikuti kesepakatan sambil tetap peka terhadap kebutuhan jemaat. Setelah ibadah, evaluasi dilakukan dengan sikap membangun, bukan saling menyalahkan.</w:t>
      </w:r>
      <w:r>
        <w:rPr>
          <w:vertAlign w:val="superscript"/>
        </w:rPr>
        <w:footnoteReference w:id="22"/>
      </w:r>
    </w:p>
    <w:p w:rsidR="00D53774" w:rsidRDefault="00D53774" w:rsidP="00D53774">
      <w:r>
        <w:t>Manajemen yang baik juga mencakup pembinaan rohani, pendampingan anggota baru, komunikasi antargenerasi, perawatan instrumen, dan penyelesaian konflik. Pendekatan praktis terhadap perencanaan dan pelayanan tim pujian dibahas oleh Bob Sorge. Gereja dapat menyesuaikan pembagian tugas dengan ukuran jemaat serta sumber daya yang tersedia.</w:t>
      </w:r>
      <w:r>
        <w:rPr>
          <w:vertAlign w:val="superscript"/>
        </w:rPr>
        <w:footnoteReference w:id="23"/>
      </w:r>
    </w:p>
    <w:p w:rsidR="00D53774" w:rsidRPr="00DE6205" w:rsidRDefault="00D53774" w:rsidP="00D53774">
      <w:pPr>
        <w:pStyle w:val="Heading1"/>
        <w:rPr>
          <w:sz w:val="24"/>
        </w:rPr>
      </w:pPr>
      <w:r w:rsidRPr="00DE6205">
        <w:rPr>
          <w:sz w:val="24"/>
        </w:rPr>
        <w:lastRenderedPageBreak/>
        <w:t>12 Tantangan Musik dalam Ibadah Pentakostal-Karismatik</w:t>
      </w:r>
    </w:p>
    <w:p w:rsidR="00D53774" w:rsidRDefault="00D53774" w:rsidP="00D53774">
      <w:r>
        <w:t>1. Musik menjadi terlalu dominan. Jika musik terlalu keras atau terlalu kompleks, jemaat dapat menjadi penonton daripada peserta.</w:t>
      </w:r>
    </w:p>
    <w:p w:rsidR="00D53774" w:rsidRDefault="00D53774" w:rsidP="00D53774">
      <w:r>
        <w:t>2. Pemimpin pujian menjadi pusat perhatian. Hal ini dapat terjadi melalui gerakan berlebihan, terlalu banyak berbicara, atau terlalu menonjolkan kemampuan.</w:t>
      </w:r>
    </w:p>
    <w:p w:rsidR="00D53774" w:rsidRDefault="00D53774" w:rsidP="00D53774">
      <w:r>
        <w:t>3. Terlalu mengejar emosi. Suasana emosional tidak selalu berarti seseorang sedang mengalami perjumpaan yang benar dengan Tuhan.</w:t>
      </w:r>
    </w:p>
    <w:p w:rsidR="00D53774" w:rsidRDefault="00D53774" w:rsidP="00D53774">
      <w:r>
        <w:t>4. Perbedaan selera musik. Generasi muda dan tua dapat mempunyai selera berbeda.</w:t>
      </w:r>
    </w:p>
    <w:p w:rsidR="00D53774" w:rsidRDefault="00D53774" w:rsidP="00D53774">
      <w:r>
        <w:t>5. Meniru gereja lain tanpa mempertimbangkan konteks. Musik yang berhasil di satu gereja belum tentu sesuai dengan gereja lain.</w:t>
      </w:r>
    </w:p>
    <w:p w:rsidR="00D53774" w:rsidRDefault="00D53774" w:rsidP="00D53774">
      <w:r>
        <w:t>6. Teknologi mengambil perhatian. Peralatan modern membantu pelayanan, tetapi tidak boleh menjadi pusat ibadah.</w:t>
      </w:r>
    </w:p>
    <w:p w:rsidR="00D53774" w:rsidRDefault="00D53774" w:rsidP="00D53774">
      <w:r>
        <w:t>Christanday memberikan perhatian pada pemahaman pujian dan penyembahan dalam kehidupan gereja serta persoalan yang dapat muncul karena perbedaan selera dan cara memahami musik.</w:t>
      </w:r>
      <w:r>
        <w:rPr>
          <w:vertAlign w:val="superscript"/>
        </w:rPr>
        <w:footnoteReference w:id="24"/>
      </w:r>
    </w:p>
    <w:p w:rsidR="00D53774" w:rsidRDefault="00D53774" w:rsidP="00D53774">
      <w:r>
        <w:t>Ingalls dan Yong memperlihatkan bahwa ekspresi musik Pentakostal-Karismatik berkembang dalam beragam konteks budaya. Karena itu, gereja perlu mempertimbangkan konteks lokalnya sendiri.</w:t>
      </w:r>
      <w:r>
        <w:rPr>
          <w:vertAlign w:val="superscript"/>
        </w:rPr>
        <w:footnoteReference w:id="25"/>
      </w:r>
    </w:p>
    <w:p w:rsidR="00D53774" w:rsidRPr="00DE6205" w:rsidRDefault="00D53774" w:rsidP="00D53774">
      <w:pPr>
        <w:pStyle w:val="Heading1"/>
        <w:rPr>
          <w:sz w:val="24"/>
        </w:rPr>
      </w:pPr>
      <w:r w:rsidRPr="00DE6205">
        <w:rPr>
          <w:sz w:val="24"/>
        </w:rPr>
        <w:t>13 Prinsip Penggunaan Musik yang Sehat</w:t>
      </w:r>
    </w:p>
    <w:p w:rsidR="00D53774" w:rsidRDefault="00D53774" w:rsidP="00D53774">
      <w:r>
        <w:t>1. Allah harus menjadi pusat.</w:t>
      </w:r>
    </w:p>
    <w:p w:rsidR="00D53774" w:rsidRDefault="00D53774" w:rsidP="00D53774">
      <w:r>
        <w:t>2. Musik harus membantu jemaat beribadah.</w:t>
      </w:r>
    </w:p>
    <w:p w:rsidR="00D53774" w:rsidRDefault="00D53774" w:rsidP="00D53774">
      <w:r>
        <w:t>3. Kemampuan musik perlu dikembangkan melalui latihan.</w:t>
      </w:r>
    </w:p>
    <w:p w:rsidR="00D53774" w:rsidRDefault="00D53774" w:rsidP="00D53774">
      <w:r>
        <w:lastRenderedPageBreak/>
        <w:t>4. Pelayanan harus dilakukan dengan kerendahan hati.</w:t>
      </w:r>
    </w:p>
    <w:p w:rsidR="00D53774" w:rsidRDefault="00D53774" w:rsidP="00D53774">
      <w:r>
        <w:t>5. Pemimpin pujian harus mampu berkomunikasi dengan jemaat dan tim.</w:t>
      </w:r>
    </w:p>
    <w:p w:rsidR="00D53774" w:rsidRDefault="00D53774" w:rsidP="00D53774">
      <w:r>
        <w:t>6. Instrumen harus digunakan secara seimbang.</w:t>
      </w:r>
    </w:p>
    <w:p w:rsidR="00D53774" w:rsidRDefault="00D53774" w:rsidP="00D53774">
      <w:r>
        <w:t>7. Kreativitas musik harus tetap memiliki dasar teologis.</w:t>
      </w:r>
    </w:p>
    <w:p w:rsidR="00D53774" w:rsidRDefault="00D53774" w:rsidP="00D53774">
      <w:r>
        <w:t>8. Musik harus memperhatikan konteks jemaat.</w:t>
      </w:r>
    </w:p>
    <w:p w:rsidR="00D53774" w:rsidRDefault="00D53774" w:rsidP="00D53774">
      <w:r>
        <w:t>9. Kehidupan dan karakter pelayan tidak boleh diabaikan.</w:t>
      </w:r>
    </w:p>
    <w:p w:rsidR="00D53774" w:rsidRDefault="00D53774" w:rsidP="00D53774">
      <w:r>
        <w:t>10. Pelayanan musik harus menghasilkan kemuliaan bagi Allah, bukan kemuliaan bagi pelayan.</w:t>
      </w:r>
    </w:p>
    <w:p w:rsidR="00D53774" w:rsidRPr="00DE6205" w:rsidRDefault="00D53774" w:rsidP="00D53774">
      <w:pPr>
        <w:pStyle w:val="Heading1"/>
        <w:rPr>
          <w:sz w:val="28"/>
        </w:rPr>
      </w:pPr>
      <w:r w:rsidRPr="00DE6205">
        <w:rPr>
          <w:sz w:val="28"/>
        </w:rPr>
        <w:t>14 Aplikasi bagi Gereja Masa Kini</w:t>
      </w:r>
    </w:p>
    <w:p w:rsidR="00D53774" w:rsidRDefault="00D53774" w:rsidP="00D53774">
      <w:r>
        <w:t>Gereja masa kini menghadapi perkembangan musik yang sangat cepat. Musik gereja semakin beragam dan teknologi semakin berkembang. Hal ini dapat menjadi kesempatan sekaligus tantangan.</w:t>
      </w:r>
    </w:p>
    <w:p w:rsidR="00D53774" w:rsidRDefault="00D53774" w:rsidP="00D53774">
      <w:r>
        <w:t>Gereja perlu terbuka terhadap perkembangan musik, tetapi tidak boleh kehilangan dasar teologisnya. Tim pujian dapat menggunakan teknologi seperti keyboard digital, sistem suara, pemantauan suara, multimedia, dan berbagai perangkat lainnya.</w:t>
      </w:r>
    </w:p>
    <w:p w:rsidR="00D53774" w:rsidRDefault="00D53774" w:rsidP="00D53774">
      <w:r>
        <w:t>Teknologi hanyalah alat. Teknologi tidak dapat menggantikan kehidupan rohani. Tim yang mempunyai peralatan lengkap tetapi tidak mempunyai kerendahan hati dan kesatuan dapat tetap mengalami masalah dalam pelayanan.</w:t>
      </w:r>
    </w:p>
    <w:p w:rsidR="00D53774" w:rsidRDefault="00D53774" w:rsidP="00D53774">
      <w:r>
        <w:t>Karena itu, gereja perlu membangun tim pujian yang memiliki dua keseimbangan: kompetensi dan karakter. Kemampuan tanpa karakter dapat menghasilkan kesombongan. Sebaliknya, karakter tanpa kemauan mengembangkan kemampuan juga dapat membuat pelayanan kurang maksimal.</w:t>
      </w:r>
    </w:p>
    <w:p w:rsidR="00D53774" w:rsidRDefault="00D53774" w:rsidP="00D53774">
      <w:r>
        <w:t>Gereja juga perlu memperhatikan pembinaan generasi muda. Anak muda dapat dibina menjadi pelayan yang bertanggung jawab, bukan hanya sebagai pemain musik. Di sisi lain, gereja perlu menjaga komunikasi antargenerasi agar perbedaan selera musik tidak menjadi sumber konflik.</w:t>
      </w:r>
    </w:p>
    <w:p w:rsidR="00D53774" w:rsidRPr="00DE6205" w:rsidRDefault="00D53774" w:rsidP="00D53774">
      <w:pPr>
        <w:pStyle w:val="Heading1"/>
        <w:rPr>
          <w:sz w:val="24"/>
        </w:rPr>
      </w:pPr>
      <w:r w:rsidRPr="00DE6205">
        <w:rPr>
          <w:sz w:val="24"/>
        </w:rPr>
        <w:t>15 Analisis Teologis</w:t>
      </w:r>
    </w:p>
    <w:p w:rsidR="00D53774" w:rsidRDefault="00D53774" w:rsidP="00D53774">
      <w:r>
        <w:lastRenderedPageBreak/>
        <w:t>Dari enam sumber yang digunakan, dapat dilihat bahwa pujian dan penyembahan tidak dapat dipisahkan dari kehidupan iman. Penyembahan bukan sekadar aktivitas menyanyi, tetapi respons manusia terhadap Allah.</w:t>
      </w:r>
    </w:p>
    <w:p w:rsidR="00D53774" w:rsidRDefault="00D53774" w:rsidP="00D53774">
      <w:r>
        <w:t>Menurut Tozer, penyembahan yang benar harus kembali kepada Allah sebagai pusat.</w:t>
      </w:r>
      <w:r>
        <w:rPr>
          <w:vertAlign w:val="superscript"/>
        </w:rPr>
        <w:footnoteReference w:id="26"/>
      </w:r>
    </w:p>
    <w:p w:rsidR="00D53774" w:rsidRDefault="00D53774" w:rsidP="00D53774">
      <w:r>
        <w:t>Menurut Wiersbe, musik, nyanyian, dan berbagai unsur ibadah perlu ditempatkan dalam pengertian ibadah yang benar.</w:t>
      </w:r>
      <w:r>
        <w:rPr>
          <w:vertAlign w:val="superscript"/>
        </w:rPr>
        <w:footnoteReference w:id="27"/>
      </w:r>
    </w:p>
    <w:p w:rsidR="00D53774" w:rsidRDefault="00D53774" w:rsidP="00D53774">
      <w:r>
        <w:t>Cornwall memberikan perhatian pada hubungan manusia dengan Allah, ekspresi penyembahan, serta bagaimana seseorang dapat memimpin orang lain dalam penyembahan.</w:t>
      </w:r>
      <w:r>
        <w:rPr>
          <w:vertAlign w:val="superscript"/>
        </w:rPr>
        <w:footnoteReference w:id="28"/>
      </w:r>
    </w:p>
    <w:p w:rsidR="00D53774" w:rsidRDefault="00D53774" w:rsidP="00D53774">
      <w:r>
        <w:t>Sorge memberikan pendekatan praktis mengenai kepemimpinan pujian, tim pelayanan, latihan, perencanaan, dan musik.</w:t>
      </w:r>
      <w:r>
        <w:rPr>
          <w:vertAlign w:val="superscript"/>
        </w:rPr>
        <w:footnoteReference w:id="29"/>
      </w:r>
    </w:p>
    <w:p w:rsidR="00D53774" w:rsidRDefault="00D53774" w:rsidP="00D53774">
      <w:r>
        <w:t>Christanday memberikan perhatian terhadap pemahaman pujian dan penyembahan dalam kehidupan gereja serta persoalan perbedaan selera musik.</w:t>
      </w:r>
      <w:r>
        <w:rPr>
          <w:vertAlign w:val="superscript"/>
        </w:rPr>
        <w:footnoteReference w:id="30"/>
      </w:r>
    </w:p>
    <w:p w:rsidR="00D53774" w:rsidRDefault="00D53774" w:rsidP="00D53774">
      <w:r>
        <w:t>Ingalls dan Yong memberikan gambaran bahwa musik Pentakostal-Karismatik mempunyai dinamika yang luas dan berkembang dalam berbagai konteks budaya.</w:t>
      </w:r>
      <w:r>
        <w:rPr>
          <w:vertAlign w:val="superscript"/>
        </w:rPr>
        <w:footnoteReference w:id="31"/>
      </w:r>
    </w:p>
    <w:p w:rsidR="00D53774" w:rsidRDefault="00D53774" w:rsidP="00D53774">
      <w:r>
        <w:t>Dari keenam sumber tersebut dapat disimpulkan bahwa musik dalam ibadah mempunyai dimensi teologis, pastoral, sosial, dan praktis. Musik harus mengarahkan manusia kepada Allah, menolong jemaat menghayati iman, membangun kebersamaan, dan dikelola dengan kemampuan serta tanggung jawab.</w:t>
      </w:r>
    </w:p>
    <w:p w:rsidR="00D53774" w:rsidRDefault="00D53774" w:rsidP="00D53774">
      <w:r>
        <w:lastRenderedPageBreak/>
        <w:t>Dengan demikian, musik dalam ibadah Pentakostal-Karismatik tidak boleh dipahami hanya sebagai pengiring lagu. Musik membantu jemaat mengungkapkan iman dan mengambil bagian dalam ibadah. Namun, musik tetap merupakan sarana. Pusat ibadah tetap Allah.</w:t>
      </w:r>
    </w:p>
    <w:p w:rsidR="00D53774" w:rsidRPr="00DE6205" w:rsidRDefault="00D53774" w:rsidP="00D53774">
      <w:pPr>
        <w:pStyle w:val="Heading1"/>
        <w:rPr>
          <w:sz w:val="24"/>
        </w:rPr>
      </w:pPr>
      <w:r w:rsidRPr="00DE6205">
        <w:rPr>
          <w:sz w:val="24"/>
        </w:rPr>
        <w:t>16 Kesimpulan</w:t>
      </w:r>
    </w:p>
    <w:p w:rsidR="00D53774" w:rsidRDefault="00D53774" w:rsidP="00D53774">
      <w:r>
        <w:t>Musik dan tim pujian penyembahan mempunyai peranan penting dalam ibadah Pentakostal-Karismatik. Musik dapat membantu jemaat menyatakan pujian, ucapan syukur, iman, dan penyembahan kepada Allah.</w:t>
      </w:r>
    </w:p>
    <w:p w:rsidR="00D53774" w:rsidRDefault="00D53774" w:rsidP="00D53774">
      <w:r>
        <w:t>Dasar utama pelayanan musik adalah bahwa Allah merupakan pusat penyembahan. Karena itu, kemampuan bermusik harus berjalan bersama kehidupan rohani dan karakter yang baik.</w:t>
      </w:r>
    </w:p>
    <w:p w:rsidR="00D53774" w:rsidRDefault="00D53774" w:rsidP="00D53774">
      <w:r>
        <w:t>Seorang pemimpin pujian harus mempunyai kemampuan berkomunikasi dengan jemaat dan tim. Ia bukan seorang artis, tetapi seorang pelayan yang membantu jemaat mengarahkan hati kepada Tuhan.</w:t>
      </w:r>
    </w:p>
    <w:p w:rsidR="00D53774" w:rsidRDefault="00D53774" w:rsidP="00D53774">
      <w:r>
        <w:t>Instrumen seperti keyboard, gitar, bass, drum, cajon, dan instrumen lainnya dapat digunakan dalam ibadah. Namun, penggunaannya harus seimbang, mendukung jemaat, tidak mendominasi, dan sesuai dengan karakter lagu.</w:t>
      </w:r>
    </w:p>
    <w:p w:rsidR="00D53774" w:rsidRDefault="00D53774" w:rsidP="00D53774">
      <w:r>
        <w:t>Tim pujian yang sehat adalah tim yang mempunyai kerohanian, karakter, kemampuan musik, kedisiplinan, kerendahan hati, dan kemampuan bekerja sama.</w:t>
      </w:r>
    </w:p>
    <w:p w:rsidR="00D53774" w:rsidRDefault="00D53774" w:rsidP="00D53774">
      <w:r>
        <w:t>Pada akhirnya, keberhasilan pelayanan pujian tidak dapat diukur hanya dari seberapa bagus musik dimainkan atau seberapa meriah suasana ibadah. Ukuran yang lebih penting adalah apakah melalui pelayanan tersebut jemaat semakin diarahkan kepada Allah, memahami kebenaran-Nya, dan hidup untuk memuliakan Kristus.</w:t>
      </w:r>
    </w:p>
    <w:p w:rsidR="00D53774" w:rsidRDefault="00D53774" w:rsidP="00D53774">
      <w:r>
        <w:br w:type="page"/>
      </w:r>
    </w:p>
    <w:p w:rsidR="00D53774" w:rsidRPr="00DE6205" w:rsidRDefault="00D53774" w:rsidP="00DE6205">
      <w:r w:rsidRPr="00DE6205">
        <w:lastRenderedPageBreak/>
        <w:t>DAFTAR PUSTAKA</w:t>
      </w:r>
    </w:p>
    <w:p w:rsidR="00D53774" w:rsidRDefault="00D53774" w:rsidP="00D53774">
      <w:r>
        <w:t xml:space="preserve">Christanday, Andreas. 2009. </w:t>
      </w:r>
      <w:r>
        <w:rPr>
          <w:i/>
        </w:rPr>
        <w:t>Lebih Mengerti Lagi tentang Pujian dan Penyembahan: Inti dan Tujuannya dalam Kebaktian.</w:t>
      </w:r>
      <w:r>
        <w:t xml:space="preserve"> Yogyakarta: Gloria Graffa.</w:t>
      </w:r>
    </w:p>
    <w:p w:rsidR="00D53774" w:rsidRDefault="00D53774" w:rsidP="00D53774">
      <w:r>
        <w:t xml:space="preserve">Cornwall, Judson. 2006. </w:t>
      </w:r>
      <w:r>
        <w:rPr>
          <w:i/>
        </w:rPr>
        <w:t>Let Us Praise/Let Us Worship: Two Books Within One Cover!</w:t>
      </w:r>
      <w:r>
        <w:t xml:space="preserve"> Bridge-Logos Foundation.</w:t>
      </w:r>
    </w:p>
    <w:p w:rsidR="00D53774" w:rsidRDefault="00D53774" w:rsidP="00D53774">
      <w:r>
        <w:t xml:space="preserve">Ingalls, Monique M. dan Amos Yong, penyunting. 2015. </w:t>
      </w:r>
      <w:r>
        <w:rPr>
          <w:i/>
        </w:rPr>
        <w:t>The Spirit of Praise: Music and Worship in Global Pentecostal-Charismatic Christianity.</w:t>
      </w:r>
      <w:r>
        <w:t xml:space="preserve"> University Park: The Pennsylvania State University Press.</w:t>
      </w:r>
    </w:p>
    <w:p w:rsidR="00D53774" w:rsidRDefault="00D53774" w:rsidP="00D53774">
      <w:r>
        <w:t xml:space="preserve">Sorge, Bob. 2018. </w:t>
      </w:r>
      <w:r>
        <w:rPr>
          <w:i/>
        </w:rPr>
        <w:t>Exploring Worship: A Practical Guide to Praise &amp; Worship.</w:t>
      </w:r>
      <w:r>
        <w:t xml:space="preserve"> Edisi ketiga. Oasis House.</w:t>
      </w:r>
    </w:p>
    <w:p w:rsidR="00D53774" w:rsidRDefault="00D53774" w:rsidP="00D53774">
      <w:r>
        <w:t xml:space="preserve">Tozer, A. W. 2006. </w:t>
      </w:r>
      <w:r>
        <w:rPr>
          <w:i/>
        </w:rPr>
        <w:t>Whatever Happened to Worship? A Call to True Worship.</w:t>
      </w:r>
      <w:r>
        <w:t xml:space="preserve"> Moody Publishers.</w:t>
      </w:r>
    </w:p>
    <w:p w:rsidR="00D53774" w:rsidRDefault="00D53774" w:rsidP="00D53774">
      <w:r>
        <w:t xml:space="preserve">Wiersbe, Warren W. 1986. </w:t>
      </w:r>
      <w:r>
        <w:rPr>
          <w:i/>
        </w:rPr>
        <w:t>Real Worship: It Will Transform Your Life.</w:t>
      </w:r>
      <w:r>
        <w:t xml:space="preserve"> Wheaton: Victor Books.</w:t>
      </w:r>
    </w:p>
    <w:p w:rsidR="00D53774" w:rsidRDefault="00D53774" w:rsidP="00D53774">
      <w:r>
        <w:t>Hawn, C. Michael. 2003. Gather Into One: Praying and Singing Globally. Grand Rapids: Eerdmans.</w:t>
      </w:r>
    </w:p>
    <w:p w:rsidR="00DE6205" w:rsidRDefault="00DE6205" w:rsidP="00D53774"/>
    <w:p w:rsidR="00DE6205" w:rsidRDefault="00DE6205" w:rsidP="00D53774"/>
    <w:p w:rsidR="00DE6205" w:rsidRDefault="00DE6205" w:rsidP="00D53774"/>
    <w:p w:rsidR="00DE6205" w:rsidRDefault="00DE6205" w:rsidP="00D53774"/>
    <w:p w:rsidR="00DE6205" w:rsidRDefault="00DE6205" w:rsidP="00D53774"/>
    <w:p w:rsidR="00DE6205" w:rsidRDefault="00DE6205" w:rsidP="00D53774"/>
    <w:p w:rsidR="00DE6205" w:rsidRDefault="00DE6205" w:rsidP="00D53774"/>
    <w:p w:rsidR="00DE6205" w:rsidRDefault="00DE6205" w:rsidP="00D53774"/>
    <w:p w:rsidR="00DE6205" w:rsidRDefault="00DE6205" w:rsidP="00D53774"/>
    <w:p w:rsidR="00DE6205" w:rsidRDefault="00DE6205" w:rsidP="00D53774"/>
    <w:p w:rsidR="00DE6205" w:rsidRDefault="00DE6205" w:rsidP="00D53774"/>
    <w:p w:rsidR="00D53774" w:rsidRPr="00DE6205" w:rsidRDefault="00D53774" w:rsidP="00D53774">
      <w:pPr>
        <w:pStyle w:val="Heading1"/>
        <w:spacing w:after="400"/>
        <w:jc w:val="center"/>
        <w:rPr>
          <w:sz w:val="24"/>
          <w:szCs w:val="24"/>
        </w:rPr>
      </w:pPr>
      <w:r w:rsidRPr="00DE6205">
        <w:rPr>
          <w:sz w:val="24"/>
          <w:szCs w:val="24"/>
        </w:rPr>
        <w:lastRenderedPageBreak/>
        <w:t>BAB IV</w:t>
      </w:r>
    </w:p>
    <w:p w:rsidR="00D53774" w:rsidRPr="00DE6205" w:rsidRDefault="00D53774" w:rsidP="00D53774">
      <w:pPr>
        <w:spacing w:after="600"/>
        <w:jc w:val="center"/>
      </w:pPr>
      <w:r w:rsidRPr="00DE6205">
        <w:rPr>
          <w:rFonts w:ascii="Times New Roman" w:eastAsia="Times New Roman" w:hAnsi="Times New Roman" w:cs="Times New Roman"/>
          <w:b/>
          <w:bCs/>
        </w:rPr>
        <w:t>TATA RUANG, ARSITEKTUR, DAN PERALATAN PENUNJANG DALAM IBADAH PENTAKOSTA-KARISMATIK</w:t>
      </w:r>
    </w:p>
    <w:p w:rsidR="00D53774" w:rsidRPr="00DE6205" w:rsidRDefault="00D53774" w:rsidP="00D53774">
      <w:pPr>
        <w:pStyle w:val="Heading2"/>
        <w:spacing w:before="400" w:after="200"/>
        <w:rPr>
          <w:sz w:val="32"/>
        </w:rPr>
      </w:pPr>
      <w:r w:rsidRPr="00DE6205">
        <w:rPr>
          <w:sz w:val="24"/>
          <w:szCs w:val="28"/>
        </w:rPr>
        <w:t>1 Pendahuluan</w:t>
      </w:r>
    </w:p>
    <w:p w:rsidR="00D53774" w:rsidRDefault="00D53774" w:rsidP="00D53774">
      <w:pPr>
        <w:spacing w:after="200" w:line="360" w:lineRule="auto"/>
        <w:ind w:firstLine="720"/>
        <w:jc w:val="both"/>
      </w:pPr>
      <w:r>
        <w:rPr>
          <w:rFonts w:ascii="Times New Roman" w:eastAsia="Times New Roman" w:hAnsi="Times New Roman" w:cs="Times New Roman"/>
        </w:rPr>
        <w:t>Ibadah bukan hanya soal apa yang diucapkan atau dinyanyikan, tetapi juga soal di mana dan bagaimana ibadah itu berlangsung. Ruang tempat jemaat berkumpul, bentuk bangunan, arah pandang, pencahayaan, sampai alat musik yang dipakai, semua itu ikut membentuk pengalaman iman seseorang. Bab ini membahas bagaimana gereja-gereja Pentakosta-Karismatik mengatur ruang ibadah mereka, mengapa mereka memilih bentuk tertentu, serta peralatan apa saja yang biasa dipakai untuk mendukung jalannya ibadah.</w:t>
      </w:r>
    </w:p>
    <w:p w:rsidR="00D53774" w:rsidRDefault="00D53774" w:rsidP="00D53774">
      <w:pPr>
        <w:spacing w:after="200" w:line="360" w:lineRule="auto"/>
        <w:ind w:firstLine="720"/>
        <w:jc w:val="both"/>
      </w:pPr>
      <w:r>
        <w:rPr>
          <w:rFonts w:ascii="Times New Roman" w:eastAsia="Times New Roman" w:hAnsi="Times New Roman" w:cs="Times New Roman"/>
        </w:rPr>
        <w:t>Berbeda dari gereja-gereja tradisional yang cenderung mempertahankan bentuk arsitektur lama, seperti menara tinggi, altar tetap, dan bangku berjajar menghadap satu titik sakral, gereja Pentakosta-Karismatik pada umumnya lebih terbuka terhadap perubahan bentuk ruang. Ruang ibadah dirancang agar mendukung ekspresi rohani yang spontan, misalnya tangan terangkat, tubuh yang bergerak, suara yang lantang, dan interaksi yang hidup antara pemimpin ibadah dengan jemaat. Semua ini bukan kebetulan, melainkan hasil dari cara pandang teologis tertentu tentang bagaimana Allah hadir dan bagaimana manusia seharusnya meresponinya.</w:t>
      </w:r>
    </w:p>
    <w:p w:rsidR="00D53774" w:rsidRDefault="00D53774" w:rsidP="00D53774">
      <w:pPr>
        <w:spacing w:after="200" w:line="360" w:lineRule="auto"/>
        <w:ind w:firstLine="720"/>
        <w:jc w:val="both"/>
      </w:pPr>
      <w:r>
        <w:rPr>
          <w:rFonts w:ascii="Times New Roman" w:eastAsia="Times New Roman" w:hAnsi="Times New Roman" w:cs="Times New Roman"/>
        </w:rPr>
        <w:t>Namun, seiring berjalannya waktu, tata ruang ibadah semacam ini juga menimbulkan pertanyaan baru. Apakah kemegahan panggung dan kecanggihan alat selalu sejalan dengan kedalaman iman? Apakah desain ruang ibadah yang berorientasi pada kenyamanan dan tontonan visual justru bisa menjauhkan jemaat dari kepekaan terhadap penderitaan orang-orang di sekitarnya? Pertanyaan-pertanyaan semacam inilah yang akan diangkat pada bagian akhir bab ini sebagai pembaruan pemikiran, dengan harapan dapat memicu diskusi lebih lanjut di kalangan pembaca, khususnya para pelayan dan pemimpin gereja.</w:t>
      </w:r>
    </w:p>
    <w:p w:rsidR="00D53774" w:rsidRDefault="00D53774" w:rsidP="00D53774">
      <w:pPr>
        <w:spacing w:after="200" w:line="360" w:lineRule="auto"/>
        <w:ind w:firstLine="720"/>
        <w:jc w:val="both"/>
      </w:pPr>
      <w:r>
        <w:rPr>
          <w:rFonts w:ascii="Times New Roman" w:eastAsia="Times New Roman" w:hAnsi="Times New Roman" w:cs="Times New Roman"/>
        </w:rPr>
        <w:lastRenderedPageBreak/>
        <w:t>Secara garis besar, bab ini akan membahas empat hal: pertama, dasar teologis yang melatarbelakangi cara gereja Pentakosta-Karismatik menata ruang ibadahnya; kedua, prinsip-prinsip arsitektur yang biasa dipakai; ketiga, peralatan penunjang ibadah yang umum digunakan; dan keempat, sebuah tinjauan kritis serta gagasan pembaruan yang menghubungkan tata ruang ibadah dengan kepedulian sosial.</w:t>
      </w:r>
    </w:p>
    <w:p w:rsidR="00D53774" w:rsidRPr="00DE6205" w:rsidRDefault="00D53774" w:rsidP="00D53774">
      <w:pPr>
        <w:pStyle w:val="Heading2"/>
        <w:spacing w:before="400" w:after="200"/>
        <w:rPr>
          <w:sz w:val="32"/>
        </w:rPr>
      </w:pPr>
      <w:r w:rsidRPr="00DE6205">
        <w:rPr>
          <w:sz w:val="24"/>
          <w:szCs w:val="28"/>
        </w:rPr>
        <w:t>2 Landasan Teologis Tata Ruang Ibadah Pentakosta-Karismatik</w:t>
      </w:r>
    </w:p>
    <w:p w:rsidR="00D53774" w:rsidRDefault="00D53774" w:rsidP="00D53774">
      <w:pPr>
        <w:spacing w:after="200" w:line="360" w:lineRule="auto"/>
        <w:ind w:firstLine="720"/>
        <w:jc w:val="both"/>
      </w:pPr>
      <w:r>
        <w:rPr>
          <w:rFonts w:ascii="Times New Roman" w:eastAsia="Times New Roman" w:hAnsi="Times New Roman" w:cs="Times New Roman"/>
        </w:rPr>
        <w:t>Setiap bentuk ruang ibadah sebenarnya lahir dari sebuah teologi, entah disadari atau tidak oleh jemaat yang beribadah di dalamnya. Dalam tradisi Pentakosta-Karismatik, ada beberapa keyakinan teologis yang secara langsung memengaruhi cara mereka menata ruang ibadah.</w:t>
      </w:r>
    </w:p>
    <w:p w:rsidR="00D53774" w:rsidRDefault="00D53774" w:rsidP="00D53774">
      <w:pPr>
        <w:spacing w:after="200" w:line="360" w:lineRule="auto"/>
        <w:ind w:firstLine="720"/>
        <w:jc w:val="both"/>
      </w:pPr>
      <w:r>
        <w:rPr>
          <w:rFonts w:ascii="Times New Roman" w:eastAsia="Times New Roman" w:hAnsi="Times New Roman" w:cs="Times New Roman"/>
        </w:rPr>
        <w:t>Pertama, keyakinan tentang kehadiran Roh Kudus yang aktif dan bisa dialami secara langsung. Gerakan Pentakosta lahir dari pengalaman dicurahkannya Roh Kudus sebagaimana dikisahkan dalam Kisah Para Rasul pasal 2. Karena pengalaman akan Roh Kudus dipahami sebagai sesuatu yang nyata dan bisa terjadi kapan saja dalam ibadah, ruang ibadah pun dirancang agar tidak membatasi gerak Roh itu. Tidak ada sekat kaku antara "tempat kudus" dan "tempat jemaat" seperti pada gereja-gereja dengan altar yang dipagari. Ruang dibuat terbuka, luas, dan fleksibel, sebab siapa pun bisa "disentuh" oleh Roh Kudus di mana pun ia berdiri atau duduk.</w:t>
      </w:r>
      <w:r>
        <w:rPr>
          <w:rStyle w:val="FootnoteReference"/>
        </w:rPr>
        <w:footnoteReference w:id="32"/>
      </w:r>
    </w:p>
    <w:p w:rsidR="00D53774" w:rsidRDefault="00D53774" w:rsidP="00D53774">
      <w:pPr>
        <w:spacing w:after="200" w:line="360" w:lineRule="auto"/>
        <w:ind w:firstLine="720"/>
        <w:jc w:val="both"/>
      </w:pPr>
      <w:r>
        <w:rPr>
          <w:rFonts w:ascii="Times New Roman" w:eastAsia="Times New Roman" w:hAnsi="Times New Roman" w:cs="Times New Roman"/>
        </w:rPr>
        <w:t xml:space="preserve">Kedua, penekanan pada ibadah sebagai pengalaman, bukan sekadar seremoni. Ibadah Pentakosta-Karismatik menonjolkan pengalaman emosional dan tubuh, seperti menangis, bersorak, menari, rebah dalam doa, dan berbicara dalam bahasa roh. Ruang ibadah karena itu perlu memberi ruang gerak bagi ekspresi tubuh ini. Bangku yang terlalu rapat, misalnya, akan menyulitkan jemaat mengangkat tangan atau menari, sehingga banyak gereja mulai beralih dari bangku kayu permanen ke kursi lipat yang </w:t>
      </w:r>
      <w:r>
        <w:rPr>
          <w:rFonts w:ascii="Times New Roman" w:eastAsia="Times New Roman" w:hAnsi="Times New Roman" w:cs="Times New Roman"/>
        </w:rPr>
        <w:lastRenderedPageBreak/>
        <w:t>bisa dipindah, bahkan menyediakan area kosong tanpa kursi sama sekali di bagian depan.</w:t>
      </w:r>
    </w:p>
    <w:p w:rsidR="00D53774" w:rsidRDefault="00D53774" w:rsidP="00D53774">
      <w:pPr>
        <w:spacing w:after="200" w:line="360" w:lineRule="auto"/>
        <w:ind w:firstLine="720"/>
        <w:jc w:val="both"/>
      </w:pPr>
      <w:r>
        <w:rPr>
          <w:rFonts w:ascii="Times New Roman" w:eastAsia="Times New Roman" w:hAnsi="Times New Roman" w:cs="Times New Roman"/>
        </w:rPr>
        <w:t>Ketiga, gagasan tentang mimbar dan panggung sebagai tempat otoritas rohani. Pengkhotbah atau pemimpin pujian dipandang sebagai saluran suara Allah bagi jemaat pada saat itu. Karena itu, posisi mimbar biasanya ditinggikan, diterangi lebih terang dari area lain, dan diletakkan di pusat pandang seluruh ruangan, mirip dengan cara panggung konser mengarahkan perhatian penonton kepada penampil di depan.</w:t>
      </w:r>
    </w:p>
    <w:p w:rsidR="00D53774" w:rsidRDefault="00D53774" w:rsidP="00D53774">
      <w:pPr>
        <w:spacing w:after="200" w:line="360" w:lineRule="auto"/>
        <w:ind w:firstLine="720"/>
        <w:jc w:val="both"/>
      </w:pPr>
      <w:r>
        <w:rPr>
          <w:rFonts w:ascii="Times New Roman" w:eastAsia="Times New Roman" w:hAnsi="Times New Roman" w:cs="Times New Roman"/>
        </w:rPr>
        <w:t>Keempat, teologi pertumbuhan gereja yang memengaruhi banyak gereja Pentakosta-Karismatik, khususnya gereja berskala besar. Ruang ibadah dirancang untuk menampung jemaat dalam jumlah besar, mudah diakses, nyaman, dan menarik bagi orang baru. Pendekatan ini kadang disebut pendekatan "ramah tamu", yang membuat gedung gereja terlihat lebih seperti auditorium modern daripada bangunan gereja dalam bentuk tradisional dengan menara dan salib besar di depan.</w:t>
      </w:r>
    </w:p>
    <w:p w:rsidR="00D53774" w:rsidRDefault="00D53774" w:rsidP="00D53774">
      <w:pPr>
        <w:spacing w:after="200" w:line="360" w:lineRule="auto"/>
        <w:ind w:firstLine="720"/>
        <w:jc w:val="both"/>
      </w:pPr>
      <w:r>
        <w:rPr>
          <w:rFonts w:ascii="Times New Roman" w:eastAsia="Times New Roman" w:hAnsi="Times New Roman" w:cs="Times New Roman"/>
        </w:rPr>
        <w:t>Keempat landasan ini, yaitu pemahaman tentang ruang yang terbuka bagi Roh Kudus, ibadah sebagai pengalaman tubuh, otoritas mimbar, dan pertumbuhan jemaat, menjadi dasar yang membentuk hampir semua keputusan arsitektural yang akan dibahas pada bagian berikutnya.</w:t>
      </w:r>
    </w:p>
    <w:p w:rsidR="00D53774" w:rsidRPr="00DE6205" w:rsidRDefault="00D53774" w:rsidP="00D53774">
      <w:pPr>
        <w:pStyle w:val="Heading2"/>
        <w:spacing w:before="400" w:after="200"/>
        <w:rPr>
          <w:sz w:val="32"/>
        </w:rPr>
      </w:pPr>
      <w:r w:rsidRPr="00DE6205">
        <w:rPr>
          <w:sz w:val="24"/>
          <w:szCs w:val="28"/>
        </w:rPr>
        <w:t>Sekilas Sejarah Ruang Ibadah Pentakosta-Karismatik</w:t>
      </w:r>
    </w:p>
    <w:p w:rsidR="00D53774" w:rsidRDefault="00D53774" w:rsidP="00D53774">
      <w:pPr>
        <w:spacing w:after="200" w:line="360" w:lineRule="auto"/>
        <w:ind w:firstLine="720"/>
        <w:jc w:val="both"/>
      </w:pPr>
      <w:r>
        <w:rPr>
          <w:rFonts w:ascii="Times New Roman" w:eastAsia="Times New Roman" w:hAnsi="Times New Roman" w:cs="Times New Roman"/>
        </w:rPr>
        <w:t>Untuk memahami mengapa tata ruang ibadah Pentakosta-Karismatik berkembang seperti sekarang, ada baiknya menengok sekilas sejarahnya.</w:t>
      </w:r>
    </w:p>
    <w:p w:rsidR="00D53774" w:rsidRDefault="00D53774" w:rsidP="00D53774">
      <w:pPr>
        <w:spacing w:after="200" w:line="360" w:lineRule="auto"/>
        <w:ind w:firstLine="720"/>
        <w:jc w:val="both"/>
      </w:pPr>
      <w:r>
        <w:rPr>
          <w:rFonts w:ascii="Times New Roman" w:eastAsia="Times New Roman" w:hAnsi="Times New Roman" w:cs="Times New Roman"/>
        </w:rPr>
        <w:t xml:space="preserve">Kebangunan rohani Pentakosta awal abad ke-20, yang salah satunya dikenal melalui peristiwa di Azusa Street, Los Angeles, justru berlangsung di tempat yang sangat sederhana, yaitu bekas gudang tua dengan lantai tanah dan bangku kayu seadanya. Ibadah pada masa itu tidak mengenal panggung megah atau tata suara canggih, sebab yang menjadi pusat perhatian bukanlah kemewahan tempat, melainkan </w:t>
      </w:r>
      <w:r>
        <w:rPr>
          <w:rFonts w:ascii="Times New Roman" w:eastAsia="Times New Roman" w:hAnsi="Times New Roman" w:cs="Times New Roman"/>
        </w:rPr>
        <w:lastRenderedPageBreak/>
        <w:t>pengalaman rohani yang dianggap luar biasa, yaitu pencurahan Roh Kudus yang melampaui sekat ras, kelas sosial, dan latar belakang jemaat yang hadir.</w:t>
      </w:r>
      <w:r>
        <w:rPr>
          <w:rStyle w:val="FootnoteReference"/>
        </w:rPr>
        <w:footnoteReference w:id="33"/>
      </w:r>
    </w:p>
    <w:p w:rsidR="00D53774" w:rsidRDefault="00D53774" w:rsidP="00D53774">
      <w:pPr>
        <w:spacing w:after="200" w:line="360" w:lineRule="auto"/>
        <w:ind w:firstLine="720"/>
        <w:jc w:val="both"/>
      </w:pPr>
      <w:r>
        <w:rPr>
          <w:rFonts w:ascii="Times New Roman" w:eastAsia="Times New Roman" w:hAnsi="Times New Roman" w:cs="Times New Roman"/>
        </w:rPr>
        <w:t>Seiring waktu, terutama sejak pertengahan hingga akhir abad ke-20, gerakan Pentakosta dan Karismatik berkembang pesat dan mulai membangun gedung-gedung permanen, bahkan gedung berskala sangat besar yang dikenal dengan istilah mega-church.</w:t>
      </w:r>
      <w:r>
        <w:rPr>
          <w:rStyle w:val="FootnoteReference"/>
        </w:rPr>
        <w:footnoteReference w:id="34"/>
      </w:r>
      <w:r>
        <w:rPr>
          <w:rFonts w:ascii="Times New Roman" w:eastAsia="Times New Roman" w:hAnsi="Times New Roman" w:cs="Times New Roman"/>
        </w:rPr>
        <w:t xml:space="preserve"> Fenomena ini juga terjadi di Indonesia, di mana pertumbuhan gereja perkotaan yang berskala besar dipandang tidak hanya sebagai perubahan bentuk fisik semata, tetapi juga terkait dengan pengalaman spiritual jemaat yang terus bertumbuh di dalamnya. Pertumbuhan ini turut dipengaruhi oleh perkembangan teknologi media, budaya hiburan populer, dan model kepemimpinan gereja yang semakin profesional. Dari sinilah lahir kecenderungan arsitektur panggung, sound system canggih, dan layar digital yang dibahas dalam bab ini.</w:t>
      </w:r>
      <w:r>
        <w:rPr>
          <w:rStyle w:val="FootnoteReference"/>
        </w:rPr>
        <w:footnoteReference w:id="35"/>
      </w:r>
    </w:p>
    <w:p w:rsidR="00D53774" w:rsidRDefault="00D53774" w:rsidP="00D53774">
      <w:pPr>
        <w:spacing w:after="200" w:line="360" w:lineRule="auto"/>
        <w:ind w:firstLine="720"/>
        <w:jc w:val="both"/>
      </w:pPr>
      <w:r>
        <w:rPr>
          <w:rFonts w:ascii="Times New Roman" w:eastAsia="Times New Roman" w:hAnsi="Times New Roman" w:cs="Times New Roman"/>
        </w:rPr>
        <w:t>Menariknya, jika dibandingkan dengan akar sejarahnya yang sederhana, perkembangan arsitektur gereja Pentakosta-Karismatik masa kini justru menempuh arah yang cukup jauh berbeda. Kesadaran akan perjalanan sejarah ini penting agar gereja masa kini tidak kehilangan semangat awal gerakannya, yaitu keterbukaan terhadap semua orang tanpa memandang status sosial, sekalipun bentuk fisik gedungnya telah banyak berubah.</w:t>
      </w:r>
    </w:p>
    <w:p w:rsidR="00D53774" w:rsidRPr="00DE6205" w:rsidRDefault="00D53774" w:rsidP="00D53774">
      <w:pPr>
        <w:pStyle w:val="Heading2"/>
        <w:spacing w:before="400" w:after="200"/>
        <w:rPr>
          <w:sz w:val="32"/>
        </w:rPr>
      </w:pPr>
      <w:r w:rsidRPr="00DE6205">
        <w:rPr>
          <w:sz w:val="24"/>
          <w:szCs w:val="28"/>
        </w:rPr>
        <w:t>3 Prinsip-Prinsip Arsitektur dalam Gereja Pentakosta-Karismatik</w:t>
      </w:r>
    </w:p>
    <w:p w:rsidR="00D53774" w:rsidRDefault="00D53774" w:rsidP="00D53774">
      <w:pPr>
        <w:spacing w:after="200" w:line="360" w:lineRule="auto"/>
        <w:ind w:firstLine="720"/>
        <w:jc w:val="both"/>
      </w:pPr>
      <w:r>
        <w:rPr>
          <w:rFonts w:ascii="Times New Roman" w:eastAsia="Times New Roman" w:hAnsi="Times New Roman" w:cs="Times New Roman"/>
        </w:rPr>
        <w:lastRenderedPageBreak/>
        <w:t>Setelah memahami dasar teologisnya, bagian ini akan menguraikan bagaimana keyakinan-keyakinan tersebut diterjemahkan ke dalam bentuk fisik bangunan dan tata ruang gereja.</w:t>
      </w:r>
    </w:p>
    <w:p w:rsidR="00D53774" w:rsidRDefault="00D53774" w:rsidP="00D53774">
      <w:pPr>
        <w:pStyle w:val="Heading3"/>
        <w:spacing w:before="300" w:after="150"/>
      </w:pPr>
      <w:r>
        <w:rPr>
          <w:i/>
          <w:iCs/>
          <w:sz w:val="24"/>
          <w:szCs w:val="24"/>
        </w:rPr>
        <w:t>3.1 Panggung dan Mimbar sebagai Pusat Perhatian</w:t>
      </w:r>
    </w:p>
    <w:p w:rsidR="00D53774" w:rsidRDefault="00D53774" w:rsidP="00D53774">
      <w:pPr>
        <w:spacing w:after="200" w:line="360" w:lineRule="auto"/>
        <w:ind w:firstLine="720"/>
        <w:jc w:val="both"/>
      </w:pPr>
      <w:r>
        <w:rPr>
          <w:rFonts w:ascii="Times New Roman" w:eastAsia="Times New Roman" w:hAnsi="Times New Roman" w:cs="Times New Roman"/>
        </w:rPr>
        <w:t>Salah satu ciri paling mudah dikenali dari gereja Pentakosta-Karismatik adalah bentuk panggung depan yang menyerupai panggung pertunjukan. Panggung biasanya lebih lebar daripada mimbar gereja tradisional, dilengkapi tempat untuk band, sound system, dan layar besar di belakangnya. Bentuk melengkung atau setengah lingkaran pada susunan kursi jemaat sering dipakai agar semua orang punya garis pandang yang jelas ke arah panggung, sama seperti desain gedung teater atau bioskop. Pola semacam ini bukanlah hal baru, sebab sejak akhir abad ke-19 sejumlah gereja Protestan Barat sudah mulai meninggalkan bentuk arsitektur lama dan beralih ke bentuk auditorium yang meniru gedung teater demi mengumpulkan jemaat dalam jumlah besar di sekitar seorang pengkhotbah.</w:t>
      </w:r>
      <w:r>
        <w:rPr>
          <w:rStyle w:val="FootnoteReference"/>
        </w:rPr>
        <w:footnoteReference w:id="36"/>
      </w:r>
    </w:p>
    <w:p w:rsidR="00D53774" w:rsidRDefault="00D53774" w:rsidP="00D53774">
      <w:pPr>
        <w:spacing w:after="200" w:line="360" w:lineRule="auto"/>
        <w:ind w:firstLine="720"/>
        <w:jc w:val="both"/>
      </w:pPr>
      <w:r>
        <w:rPr>
          <w:rFonts w:ascii="Times New Roman" w:eastAsia="Times New Roman" w:hAnsi="Times New Roman" w:cs="Times New Roman"/>
        </w:rPr>
        <w:t>Penataan seperti ini bukan tanpa alasan. Karena ibadah Pentakosta-Karismatik menekankan pengalaman bersama yang hidup, jemaat perlu bisa melihat dengan jelas ekspresi wajah pengkhotbah, gerakan pemimpin pujian, dan momen-momen penting seperti doa syafaat atau altar call. Kedekatan visual ini dipercaya membantu jemaat merasa lebih terlibat, bukan sekadar menonton dari jauh.</w:t>
      </w:r>
    </w:p>
    <w:p w:rsidR="00D53774" w:rsidRDefault="00D53774" w:rsidP="00D53774">
      <w:pPr>
        <w:pStyle w:val="Heading3"/>
        <w:spacing w:before="300" w:after="150"/>
      </w:pPr>
      <w:r>
        <w:rPr>
          <w:i/>
          <w:iCs/>
          <w:sz w:val="24"/>
          <w:szCs w:val="24"/>
        </w:rPr>
        <w:t>3.2 Ruang Terbuka dan Fleksibel untuk Ekspresi Tubuh</w:t>
      </w:r>
    </w:p>
    <w:p w:rsidR="00D53774" w:rsidRDefault="00D53774" w:rsidP="00D53774">
      <w:pPr>
        <w:spacing w:after="200" w:line="360" w:lineRule="auto"/>
        <w:ind w:firstLine="720"/>
        <w:jc w:val="both"/>
      </w:pPr>
      <w:r>
        <w:rPr>
          <w:rFonts w:ascii="Times New Roman" w:eastAsia="Times New Roman" w:hAnsi="Times New Roman" w:cs="Times New Roman"/>
        </w:rPr>
        <w:t xml:space="preserve">Banyak gereja Pentakosta-Karismatik sengaja menyediakan ruang kosong yang luas, baik di bagian depan dekat panggung maupun di lorong-lorong antar kursi. Ruang ini dipakai jemaat untuk menari, mengangkat tangan, berjalan maju saat altar call, atau bahkan berbaring ketika seseorang mengalami pengalaman rohani yang kuat. Karena </w:t>
      </w:r>
      <w:r>
        <w:rPr>
          <w:rFonts w:ascii="Times New Roman" w:eastAsia="Times New Roman" w:hAnsi="Times New Roman" w:cs="Times New Roman"/>
        </w:rPr>
        <w:lastRenderedPageBreak/>
        <w:t>kebutuhan ini, banyak gereja modern memilih kursi lipat atau kursi yang mudah dipindah dan disusun ulang, dibandingkan bangku kayu permanen yang membatasi gerak.</w:t>
      </w:r>
      <w:r>
        <w:rPr>
          <w:rStyle w:val="FootnoteReference"/>
        </w:rPr>
        <w:footnoteReference w:id="37"/>
      </w:r>
    </w:p>
    <w:p w:rsidR="00D53774" w:rsidRDefault="00D53774" w:rsidP="00D53774">
      <w:pPr>
        <w:spacing w:after="200" w:line="360" w:lineRule="auto"/>
        <w:ind w:firstLine="720"/>
        <w:jc w:val="both"/>
      </w:pPr>
      <w:r>
        <w:rPr>
          <w:rFonts w:ascii="Times New Roman" w:eastAsia="Times New Roman" w:hAnsi="Times New Roman" w:cs="Times New Roman"/>
        </w:rPr>
        <w:t>Lantai gedung juga sering dibuat rata tanpa undakan, kecuali pada gedung besar yang memakai balkon untuk menampung lebih banyak jemaat. Lantai rata ini memudahkan jemaat bergerak bebas dan memudahkan penataan ulang ruang untuk kegiatan lain di luar ibadah, misalnya seminar, pernikahan, atau acara sosial.</w:t>
      </w:r>
    </w:p>
    <w:p w:rsidR="00D53774" w:rsidRDefault="00D53774" w:rsidP="00D53774">
      <w:pPr>
        <w:pStyle w:val="Heading3"/>
        <w:spacing w:before="300" w:after="150"/>
      </w:pPr>
      <w:r>
        <w:rPr>
          <w:i/>
          <w:iCs/>
          <w:sz w:val="24"/>
          <w:szCs w:val="24"/>
        </w:rPr>
        <w:t>3.3 Akustik dan Sistem Tata Suara</w:t>
      </w:r>
    </w:p>
    <w:p w:rsidR="00D53774" w:rsidRDefault="00D53774" w:rsidP="00D53774">
      <w:pPr>
        <w:spacing w:after="200" w:line="360" w:lineRule="auto"/>
        <w:ind w:firstLine="720"/>
        <w:jc w:val="both"/>
      </w:pPr>
      <w:r>
        <w:rPr>
          <w:rFonts w:ascii="Times New Roman" w:eastAsia="Times New Roman" w:hAnsi="Times New Roman" w:cs="Times New Roman"/>
        </w:rPr>
        <w:t>Karena ibadah Pentakosta-Karismatik sangat mengandalkan musik yang dinamis dan suara pengkhotbah yang jelas terdengar, akustik ruangan menjadi perhatian khusus dalam desain bangunannya. Dinding dan langit-langit sering dilapisi bahan peredam suara agar suara musik tidak bergema berlebihan, sementara posisi speaker diatur sedemikian rupa agar suara terdengar merata ke seluruh ruangan, tidak hanya di bagian depan.</w:t>
      </w:r>
    </w:p>
    <w:p w:rsidR="00D53774" w:rsidRDefault="00D53774" w:rsidP="00D53774">
      <w:pPr>
        <w:spacing w:after="200" w:line="360" w:lineRule="auto"/>
        <w:ind w:firstLine="720"/>
        <w:jc w:val="both"/>
      </w:pPr>
      <w:r>
        <w:rPr>
          <w:rFonts w:ascii="Times New Roman" w:eastAsia="Times New Roman" w:hAnsi="Times New Roman" w:cs="Times New Roman"/>
        </w:rPr>
        <w:t>Sistem tata suara yang baik dianggap penting bukan hanya demi kenyamanan telinga, tetapi juga karena suara dipercaya menjadi sarana penghantar firman dan pujian yang menyentuh hati jemaat. Karena itu, tidak jarang gereja Pentakosta-Karismatik mengalokasikan dana cukup besar untuk peralatan audio berkualitas tinggi, bahkan pada gereja yang jemaatnya belum terlalu besar.</w:t>
      </w:r>
    </w:p>
    <w:p w:rsidR="00D53774" w:rsidRDefault="00D53774" w:rsidP="00D53774">
      <w:pPr>
        <w:pStyle w:val="Heading3"/>
        <w:spacing w:before="300" w:after="150"/>
      </w:pPr>
      <w:r>
        <w:rPr>
          <w:i/>
          <w:iCs/>
          <w:sz w:val="24"/>
          <w:szCs w:val="24"/>
        </w:rPr>
        <w:t>3.4 Pencahayaan dan Efek Visual</w:t>
      </w:r>
    </w:p>
    <w:p w:rsidR="00D53774" w:rsidRDefault="00D53774" w:rsidP="00D53774">
      <w:pPr>
        <w:spacing w:after="200" w:line="360" w:lineRule="auto"/>
        <w:ind w:firstLine="720"/>
        <w:jc w:val="both"/>
      </w:pPr>
      <w:r>
        <w:rPr>
          <w:rFonts w:ascii="Times New Roman" w:eastAsia="Times New Roman" w:hAnsi="Times New Roman" w:cs="Times New Roman"/>
        </w:rPr>
        <w:t xml:space="preserve">Pencahayaan dalam ibadah Pentakosta-Karismatik biasanya dirancang dinamis, bukan sekadar terang benderang secara merata seperti gedung sekolah. Lampu panggung dapat diredupkan saat momen doa yang khusyuk, atau dibuat berwarna-warni dan berkelap-kelip saat pujian penyembahan yang penuh semangat. Layar LED </w:t>
      </w:r>
      <w:r>
        <w:rPr>
          <w:rFonts w:ascii="Times New Roman" w:eastAsia="Times New Roman" w:hAnsi="Times New Roman" w:cs="Times New Roman"/>
        </w:rPr>
        <w:lastRenderedPageBreak/>
        <w:t>besar juga umum dipakai untuk menampilkan lirik lagu, ayat Alkitab, pengumuman, hingga rekaman video pendukung khotbah.</w:t>
      </w:r>
    </w:p>
    <w:p w:rsidR="00D53774" w:rsidRDefault="00D53774" w:rsidP="00D53774">
      <w:pPr>
        <w:spacing w:after="200" w:line="360" w:lineRule="auto"/>
        <w:ind w:firstLine="720"/>
        <w:jc w:val="both"/>
      </w:pPr>
      <w:r>
        <w:rPr>
          <w:rFonts w:ascii="Times New Roman" w:eastAsia="Times New Roman" w:hAnsi="Times New Roman" w:cs="Times New Roman"/>
        </w:rPr>
        <w:t>Penggunaan efek visual semacam ini bertujuan membangun suasana (atmosphere) yang mendukung fokus dan emosi jemaat selama ibadah. Namun, hal ini juga menjadi salah satu titik yang paling sering dikritik, karena garis antara membangun suasana rohani dan menciptakan tontonan hiburan semata kadang menjadi kabur. Kritik ini akan dibahas lebih lanjut pada bagian pembaruan di akhir bab.</w:t>
      </w:r>
    </w:p>
    <w:p w:rsidR="00D53774" w:rsidRDefault="00D53774" w:rsidP="00D53774">
      <w:pPr>
        <w:pStyle w:val="Heading3"/>
        <w:spacing w:before="300" w:after="150"/>
      </w:pPr>
      <w:r>
        <w:rPr>
          <w:i/>
          <w:iCs/>
          <w:sz w:val="24"/>
          <w:szCs w:val="24"/>
        </w:rPr>
        <w:t>3.5 Material Bangunan dan Interior</w:t>
      </w:r>
    </w:p>
    <w:p w:rsidR="00D53774" w:rsidRDefault="00D53774" w:rsidP="00D53774">
      <w:pPr>
        <w:spacing w:after="200" w:line="360" w:lineRule="auto"/>
        <w:ind w:firstLine="720"/>
        <w:jc w:val="both"/>
      </w:pPr>
      <w:r>
        <w:rPr>
          <w:rFonts w:ascii="Times New Roman" w:eastAsia="Times New Roman" w:hAnsi="Times New Roman" w:cs="Times New Roman"/>
        </w:rPr>
        <w:t>Pemilihan material bangunan pada gereja Pentakosta-Karismatik masa kini juga cenderung berbeda dari gereja-gereja lama yang banyak memakai batu, marmer, atau kayu ukir dengan detail rumit. Gereja Pentakosta-Karismatik lebih sering memakai material modern seperti baja ringan, kaca lebar, beton ekspos, dan panel akustik, yang lebih efisien secara biaya dan waktu pembangunan, sekaligus memberi kesan bersih dan kontemporer.</w:t>
      </w:r>
    </w:p>
    <w:p w:rsidR="00D53774" w:rsidRDefault="00D53774" w:rsidP="00D53774">
      <w:pPr>
        <w:spacing w:after="200" w:line="360" w:lineRule="auto"/>
        <w:ind w:firstLine="720"/>
        <w:jc w:val="both"/>
      </w:pPr>
      <w:r>
        <w:rPr>
          <w:rFonts w:ascii="Times New Roman" w:eastAsia="Times New Roman" w:hAnsi="Times New Roman" w:cs="Times New Roman"/>
        </w:rPr>
        <w:t>Warna interior pun umumnya dipilih netral, seperti abu-abu, hitam, atau putih, agar tidak mengganggu tampilan lampu panggung dan layar LED yang justru menjadi elemen visual utama. Pendekatan ini berbeda jauh dari gereja tradisional yang biasanya memakai warna-warna simbolik pada kaca patri, altar, dan ornamen dinding untuk menyampaikan pesan teologis secara visual dan permanen.</w:t>
      </w:r>
    </w:p>
    <w:p w:rsidR="00D53774" w:rsidRDefault="00D53774" w:rsidP="00D53774">
      <w:pPr>
        <w:spacing w:after="200" w:line="360" w:lineRule="auto"/>
        <w:ind w:firstLine="720"/>
        <w:jc w:val="both"/>
      </w:pPr>
      <w:r>
        <w:rPr>
          <w:rFonts w:ascii="Times New Roman" w:eastAsia="Times New Roman" w:hAnsi="Times New Roman" w:cs="Times New Roman"/>
        </w:rPr>
        <w:t>Pemilihan material yang efisien ini sebenarnya juga berkaitan dengan pola pertumbuhan jemaat yang cepat. Banyak gereja Pentakosta-Karismatik memulai ibadah dari tempat sewaan, seperti gedung bioskop, ballroom hotel, atau ruko, sebelum akhirnya memiliki gedung sendiri. Pengalaman berpindah-pindah tempat ini membentuk kebiasaan mendesain ruang yang praktis, cepat dibangun, dan mudah disesuaikan, alih-alih bangunan permanen yang memakan waktu bertahun-tahun untuk selesai.</w:t>
      </w:r>
    </w:p>
    <w:p w:rsidR="00D53774" w:rsidRDefault="00D53774" w:rsidP="00D53774">
      <w:pPr>
        <w:pStyle w:val="Heading3"/>
        <w:spacing w:before="300" w:after="150"/>
      </w:pPr>
      <w:r>
        <w:rPr>
          <w:i/>
          <w:iCs/>
          <w:sz w:val="24"/>
          <w:szCs w:val="24"/>
        </w:rPr>
        <w:t>3.6 Aksesibilitas dan Kenyamanan Jemaat</w:t>
      </w:r>
    </w:p>
    <w:p w:rsidR="00D53774" w:rsidRDefault="00D53774" w:rsidP="00D53774">
      <w:pPr>
        <w:spacing w:after="200" w:line="360" w:lineRule="auto"/>
        <w:ind w:firstLine="720"/>
        <w:jc w:val="both"/>
      </w:pPr>
      <w:r>
        <w:rPr>
          <w:rFonts w:ascii="Times New Roman" w:eastAsia="Times New Roman" w:hAnsi="Times New Roman" w:cs="Times New Roman"/>
        </w:rPr>
        <w:lastRenderedPageBreak/>
        <w:t>Aspek lain yang semakin diperhatikan dalam arsitektur gereja Pentakosta-Karismatik adalah kenyamanan dan aksesibilitas bagi seluruh lapisan jemaat, termasuk lansia, penyandang disabilitas, ibu yang membawa bayi, dan anak-anak. Banyak gereja besar kini menyediakan area parkir luas, jalur landai untuk kursi roda, ruang menyusui, serta ruang khusus untuk pelayanan anak dan remaja yang terpisah dari ruang ibadah utama agar tidak saling mengganggu.</w:t>
      </w:r>
      <w:r>
        <w:rPr>
          <w:rStyle w:val="FootnoteReference"/>
        </w:rPr>
        <w:footnoteReference w:id="38"/>
      </w:r>
    </w:p>
    <w:p w:rsidR="00D53774" w:rsidRDefault="00D53774" w:rsidP="00D53774">
      <w:pPr>
        <w:spacing w:after="200" w:line="360" w:lineRule="auto"/>
        <w:ind w:firstLine="720"/>
        <w:jc w:val="both"/>
      </w:pPr>
      <w:r>
        <w:rPr>
          <w:rFonts w:ascii="Times New Roman" w:eastAsia="Times New Roman" w:hAnsi="Times New Roman" w:cs="Times New Roman"/>
        </w:rPr>
        <w:t>Pendingin ruangan (AC), pencahayaan yang cukup di area luar gedung, serta toilet yang bersih dan memadai juga menjadi bagian dari standar kenyamanan yang mulai dianggap wajar oleh jemaat masa kini. Hal ini menunjukkan bahwa arsitektur gereja modern tidak hanya berbicara tentang teologi dan estetika, tetapi juga tentang pelayanan praktis kepada jemaat dari berbagai latar belakang dan kebutuhan.</w:t>
      </w:r>
    </w:p>
    <w:p w:rsidR="00D53774" w:rsidRDefault="00D53774" w:rsidP="00D53774">
      <w:pPr>
        <w:pStyle w:val="Heading2"/>
        <w:spacing w:before="400" w:after="200"/>
      </w:pPr>
      <w:r>
        <w:rPr>
          <w:sz w:val="28"/>
          <w:szCs w:val="28"/>
        </w:rPr>
        <w:t>4 Peralatan Penunjang Ibadah</w:t>
      </w:r>
    </w:p>
    <w:p w:rsidR="00D53774" w:rsidRDefault="00D53774" w:rsidP="00D53774">
      <w:pPr>
        <w:spacing w:after="200" w:line="360" w:lineRule="auto"/>
        <w:ind w:firstLine="720"/>
        <w:jc w:val="both"/>
      </w:pPr>
      <w:r>
        <w:rPr>
          <w:rFonts w:ascii="Times New Roman" w:eastAsia="Times New Roman" w:hAnsi="Times New Roman" w:cs="Times New Roman"/>
        </w:rPr>
        <w:t>Selain bentuk bangunan dan tata ruang, ibadah Pentakosta-Karismatik juga sangat bergantung pada berbagai peralatan teknis. Bagian ini akan menguraikan empat jenis peralatan yang paling umum dijumpai.</w:t>
      </w:r>
    </w:p>
    <w:p w:rsidR="00D53774" w:rsidRDefault="00D53774" w:rsidP="00D53774">
      <w:pPr>
        <w:pStyle w:val="Heading3"/>
        <w:spacing w:before="300" w:after="150"/>
      </w:pPr>
      <w:r>
        <w:rPr>
          <w:i/>
          <w:iCs/>
          <w:sz w:val="24"/>
          <w:szCs w:val="24"/>
        </w:rPr>
        <w:t>4.1 Sistem Sound System dan Multimedia</w:t>
      </w:r>
    </w:p>
    <w:p w:rsidR="00D53774" w:rsidRDefault="00D53774" w:rsidP="00D53774">
      <w:pPr>
        <w:spacing w:after="200" w:line="360" w:lineRule="auto"/>
        <w:ind w:firstLine="720"/>
        <w:jc w:val="both"/>
      </w:pPr>
      <w:r>
        <w:rPr>
          <w:rFonts w:ascii="Times New Roman" w:eastAsia="Times New Roman" w:hAnsi="Times New Roman" w:cs="Times New Roman"/>
        </w:rPr>
        <w:t>Sound system menjadi tulang punggung ibadah modern. Perangkat ini mencakup mixer audio, speaker aktif, monitor panggung bagi pemain musik, mikrofon nirkabel untuk pengkhotbah dan penyanyi, serta perangkat lunak pengatur suara digital. Selain sound system, banyak gereja juga memiliki tim multimedia yang bertugas mengoperasikan kamera, layar proyeksi, dan streaming daring, mengingat semakin banyak gereja menyiarkan ibadahnya secara langsung melalui media sosial atau kanal video.</w:t>
      </w:r>
    </w:p>
    <w:p w:rsidR="00D53774" w:rsidRDefault="00D53774" w:rsidP="00D53774">
      <w:pPr>
        <w:spacing w:after="200" w:line="360" w:lineRule="auto"/>
        <w:ind w:firstLine="720"/>
        <w:jc w:val="both"/>
      </w:pPr>
      <w:r>
        <w:rPr>
          <w:rFonts w:ascii="Times New Roman" w:eastAsia="Times New Roman" w:hAnsi="Times New Roman" w:cs="Times New Roman"/>
        </w:rPr>
        <w:lastRenderedPageBreak/>
        <w:t>Kehadiran tim multimedia menunjukkan bahwa ibadah masa kini tidak lagi hanya melibatkan jemaat yang hadir secara fisik, tetapi juga jemaat daring yang mengikuti dari rumah atau tempat lain. Hal ini membawa konsekuensi baru dalam desain ruang ibadah, misalnya perlunya pencahayaan yang ramah kamera dan penempatan layar yang juga terlihat baik dari sudut pengambilan gambar.</w:t>
      </w:r>
    </w:p>
    <w:p w:rsidR="00D53774" w:rsidRDefault="00D53774" w:rsidP="00D53774">
      <w:pPr>
        <w:pStyle w:val="Heading3"/>
        <w:spacing w:before="300" w:after="150"/>
      </w:pPr>
      <w:r>
        <w:rPr>
          <w:i/>
          <w:iCs/>
          <w:sz w:val="24"/>
          <w:szCs w:val="24"/>
        </w:rPr>
        <w:t>4.2 Alat Musik dan Band Panggung</w:t>
      </w:r>
    </w:p>
    <w:p w:rsidR="00D53774" w:rsidRDefault="00D53774" w:rsidP="00D53774">
      <w:pPr>
        <w:spacing w:after="200" w:line="360" w:lineRule="auto"/>
        <w:ind w:firstLine="720"/>
        <w:jc w:val="both"/>
      </w:pPr>
      <w:r>
        <w:rPr>
          <w:rFonts w:ascii="Times New Roman" w:eastAsia="Times New Roman" w:hAnsi="Times New Roman" w:cs="Times New Roman"/>
        </w:rPr>
        <w:t>Musik menempati posisi sentral dalam ibadah Pentakosta-Karismatik. Alat musik yang umum dipakai meliputi keyboard, gitar akustik dan elektrik, bass, drum, serta kadang ditambah alat musik tiup atau string section pada gereja besar. Band ibadah biasanya diposisikan di panggung utama, sejajar dengan pemimpin pujian, karena musik dipandang bukan sekadar pengiring, melainkan bagian penting dari penyembahan itu sendiri.</w:t>
      </w:r>
      <w:r>
        <w:rPr>
          <w:rStyle w:val="FootnoteReference"/>
        </w:rPr>
        <w:footnoteReference w:id="39"/>
      </w:r>
    </w:p>
    <w:p w:rsidR="00D53774" w:rsidRDefault="00D53774" w:rsidP="00D53774">
      <w:pPr>
        <w:spacing w:after="200" w:line="360" w:lineRule="auto"/>
        <w:ind w:firstLine="720"/>
        <w:jc w:val="both"/>
      </w:pPr>
      <w:r>
        <w:rPr>
          <w:rFonts w:ascii="Times New Roman" w:eastAsia="Times New Roman" w:hAnsi="Times New Roman" w:cs="Times New Roman"/>
        </w:rPr>
        <w:t>Pemilihan alat musik dan gaya bermusik juga mencerminkan kedekatan gereja Pentakosta-Karismatik dengan budaya musik populer masa kini, seperti musik pop rohani kontemporer. Hal ini membuat ibadah terasa akrab bagi generasi muda, meski di sisi lain juga memunculkan perdebatan mengenai batas antara penyembahan dan pertunjukan musik.</w:t>
      </w:r>
    </w:p>
    <w:p w:rsidR="00D53774" w:rsidRDefault="00D53774" w:rsidP="00D53774">
      <w:pPr>
        <w:pStyle w:val="Heading3"/>
        <w:spacing w:before="300" w:after="150"/>
      </w:pPr>
      <w:r>
        <w:rPr>
          <w:i/>
          <w:iCs/>
          <w:sz w:val="24"/>
          <w:szCs w:val="24"/>
        </w:rPr>
        <w:t>4.3 Teknologi Layar dan Proyeksi</w:t>
      </w:r>
    </w:p>
    <w:p w:rsidR="00D53774" w:rsidRDefault="00D53774" w:rsidP="00D53774">
      <w:pPr>
        <w:spacing w:after="200" w:line="360" w:lineRule="auto"/>
        <w:ind w:firstLine="720"/>
        <w:jc w:val="both"/>
      </w:pPr>
      <w:r>
        <w:rPr>
          <w:rFonts w:ascii="Times New Roman" w:eastAsia="Times New Roman" w:hAnsi="Times New Roman" w:cs="Times New Roman"/>
        </w:rPr>
        <w:t>Layar LED atau proyektor menjadi peralatan wajib di hampir semua gereja Pentakosta-Karismatik masa kini. Fungsinya beragam, mulai dari menampilkan lirik lagu agar jemaat mudah bernyanyi bersama, menayangkan ayat Alkitab saat khotbah, menampilkan slide presentasi pengkhotbah, hingga memutar video kesaksian atau pengumuman kegiatan gereja. Teknologi ini menggantikan peran buku nyanyian cetak yang dahulu umum dipakai.</w:t>
      </w:r>
    </w:p>
    <w:p w:rsidR="00D53774" w:rsidRDefault="00D53774" w:rsidP="00D53774">
      <w:pPr>
        <w:spacing w:after="200" w:line="360" w:lineRule="auto"/>
        <w:ind w:firstLine="720"/>
        <w:jc w:val="both"/>
      </w:pPr>
      <w:r>
        <w:rPr>
          <w:rFonts w:ascii="Times New Roman" w:eastAsia="Times New Roman" w:hAnsi="Times New Roman" w:cs="Times New Roman"/>
        </w:rPr>
        <w:lastRenderedPageBreak/>
        <w:t>Dari sisi praktis, layar digital memang sangat membantu kelancaran ibadah dan menghemat biaya cetak. Namun, ketergantungan pada teknologi ini juga berarti gereja perlu menyiapkan anggaran perawatan, tenaga operator terlatih, serta rencana cadangan apabila terjadi gangguan teknis di tengah ibadah.</w:t>
      </w:r>
    </w:p>
    <w:p w:rsidR="00D53774" w:rsidRDefault="00D53774" w:rsidP="00D53774">
      <w:pPr>
        <w:pStyle w:val="Heading3"/>
        <w:spacing w:before="300" w:after="150"/>
      </w:pPr>
      <w:r>
        <w:rPr>
          <w:i/>
          <w:iCs/>
          <w:sz w:val="24"/>
          <w:szCs w:val="24"/>
        </w:rPr>
        <w:t>4.4 Ruang dan Fasilitas Doa</w:t>
      </w:r>
    </w:p>
    <w:p w:rsidR="00D53774" w:rsidRDefault="00D53774" w:rsidP="00D53774">
      <w:pPr>
        <w:spacing w:after="200" w:line="360" w:lineRule="auto"/>
        <w:ind w:firstLine="720"/>
        <w:jc w:val="both"/>
      </w:pPr>
      <w:r>
        <w:rPr>
          <w:rFonts w:ascii="Times New Roman" w:eastAsia="Times New Roman" w:hAnsi="Times New Roman" w:cs="Times New Roman"/>
        </w:rPr>
        <w:t>Selain ruang ibadah utama, banyak gereja Pentakosta-Karismatik menyediakan ruang khusus untuk pelayanan doa, konseling, atau altar call lanjutan setelah ibadah selesai. Ruang ini biasanya lebih tenang dan tertutup, berbeda dari ruang utama yang ramai dan penuh musik. Di sinilah jemaat yang membutuhkan doa pribadi, pemulihan emosi, atau bimbingan rohani dapat dilayani secara lebih personal oleh tim doa atau konselor gereja.</w:t>
      </w:r>
    </w:p>
    <w:p w:rsidR="00D53774" w:rsidRDefault="00D53774" w:rsidP="00D53774">
      <w:pPr>
        <w:spacing w:after="200" w:line="360" w:lineRule="auto"/>
        <w:ind w:firstLine="720"/>
        <w:jc w:val="both"/>
      </w:pPr>
      <w:r>
        <w:rPr>
          <w:rFonts w:ascii="Times New Roman" w:eastAsia="Times New Roman" w:hAnsi="Times New Roman" w:cs="Times New Roman"/>
        </w:rPr>
        <w:t>Keberadaan ruang doa semacam ini penting untuk diperhatikan, sebab menunjukkan bahwa ibadah tidak berhenti pada momen di atas panggung, tetapi berlanjut pada pendampingan pribadi terhadap jemaat yang membutuhkan perhatian lebih.</w:t>
      </w:r>
    </w:p>
    <w:p w:rsidR="00D53774" w:rsidRDefault="00D53774" w:rsidP="00D53774">
      <w:pPr>
        <w:pStyle w:val="Heading3"/>
        <w:spacing w:before="300" w:after="150"/>
      </w:pPr>
      <w:r>
        <w:rPr>
          <w:i/>
          <w:iCs/>
          <w:sz w:val="24"/>
          <w:szCs w:val="24"/>
        </w:rPr>
        <w:t>4.5 Perangkat Pendukung Lainnya</w:t>
      </w:r>
    </w:p>
    <w:p w:rsidR="00D53774" w:rsidRDefault="00D53774" w:rsidP="00D53774">
      <w:pPr>
        <w:spacing w:after="200" w:line="360" w:lineRule="auto"/>
        <w:ind w:firstLine="720"/>
        <w:jc w:val="both"/>
      </w:pPr>
      <w:r>
        <w:rPr>
          <w:rFonts w:ascii="Times New Roman" w:eastAsia="Times New Roman" w:hAnsi="Times New Roman" w:cs="Times New Roman"/>
        </w:rPr>
        <w:t>Selain empat kategori di atas, ibadah Pentakosta-Karismatik biasanya juga ditunjang oleh perangkat-perangkat pendukung lain, seperti meja persembahan atau kotak persembahan digital berbasis kode QR, generator listrik cadangan untuk mengantisipasi pemadaman listrik, serta perlengkapan keamanan seperti alat pemadam kebakaran dan petugas keamanan gedung. Semua perangkat ini mungkin tampak sepele, tetapi turut menentukan kelancaran dan keamanan jalannya ibadah, terutama pada gereja dengan jumlah jemaat yang besar.</w:t>
      </w:r>
    </w:p>
    <w:p w:rsidR="00D53774" w:rsidRDefault="00D53774" w:rsidP="00D53774">
      <w:pPr>
        <w:spacing w:after="200" w:line="360" w:lineRule="auto"/>
        <w:ind w:firstLine="720"/>
        <w:jc w:val="both"/>
      </w:pPr>
      <w:r>
        <w:rPr>
          <w:rFonts w:ascii="Times New Roman" w:eastAsia="Times New Roman" w:hAnsi="Times New Roman" w:cs="Times New Roman"/>
        </w:rPr>
        <w:t xml:space="preserve">Tim teknis di balik layar, meliputi operator sound, operator media, teknisi listrik, dan petugas keamanan, sering kali tidak terlihat oleh jemaat, tetapi peran mereka sangat menentukan apakah ibadah dapat berjalan lancar dari awal hingga akhir. Dalam banyak gereja Pentakosta-Karismatik, pelayanan di balik layar ini juga dipandang </w:t>
      </w:r>
      <w:r>
        <w:rPr>
          <w:rFonts w:ascii="Times New Roman" w:eastAsia="Times New Roman" w:hAnsi="Times New Roman" w:cs="Times New Roman"/>
        </w:rPr>
        <w:lastRenderedPageBreak/>
        <w:t>sebagai bentuk pelayanan rohani yang sama berharganya dengan pelayanan di atas panggung, meskipun jarang mendapat sorotan.</w:t>
      </w:r>
    </w:p>
    <w:p w:rsidR="00D53774" w:rsidRPr="00DE6205" w:rsidRDefault="00D53774" w:rsidP="00D53774">
      <w:pPr>
        <w:pStyle w:val="Heading2"/>
        <w:spacing w:before="400" w:after="200"/>
        <w:rPr>
          <w:sz w:val="32"/>
        </w:rPr>
      </w:pPr>
      <w:r w:rsidRPr="00DE6205">
        <w:rPr>
          <w:sz w:val="24"/>
          <w:szCs w:val="28"/>
        </w:rPr>
        <w:t>5 Tata Ruang sebagai Cermin Teologi Kehadiran Allah</w:t>
      </w:r>
    </w:p>
    <w:p w:rsidR="00D53774" w:rsidRDefault="00D53774" w:rsidP="00D53774">
      <w:pPr>
        <w:spacing w:after="200" w:line="360" w:lineRule="auto"/>
        <w:ind w:firstLine="720"/>
        <w:jc w:val="both"/>
      </w:pPr>
      <w:r>
        <w:rPr>
          <w:rFonts w:ascii="Times New Roman" w:eastAsia="Times New Roman" w:hAnsi="Times New Roman" w:cs="Times New Roman"/>
        </w:rPr>
        <w:t>Jika diamati lebih dalam, setiap keputusan tentang tata ruang ibadah sebenarnya sedang "berbicara" tentang bagaimana sebuah gereja memahami kehadiran Allah. Gereja dengan altar yang tinggi dan berjarak dari jemaat sedang menyampaikan pesan bahwa Allah itu kudus dan agung, sehingga perlu didekati dengan penuh hormat dan jarak tertentu. Sebaliknya, gereja Pentakosta-Karismatik dengan panggung terbuka dan ruang tanpa sekat sedang menyampaikan pesan lain, yaitu bahwa Allah itu dekat, bisa disentuh, dan hadir di tengah keramaian jemaat yang bersorak dan menari. Pengaturan tempat duduk, posisi mimbar, dan penggunaan simbol dalam sebuah bangunan gereja pada dasarnya adalah bahasa arsitektural yang menyampaikan teologi tertentu kepada setiap orang yang memasukinya, entah ia menyadarinya atau tidak.</w:t>
      </w:r>
      <w:r>
        <w:rPr>
          <w:rStyle w:val="FootnoteReference"/>
        </w:rPr>
        <w:footnoteReference w:id="40"/>
      </w:r>
    </w:p>
    <w:p w:rsidR="00D53774" w:rsidRDefault="00D53774" w:rsidP="00D53774">
      <w:pPr>
        <w:spacing w:after="200" w:line="360" w:lineRule="auto"/>
        <w:ind w:firstLine="720"/>
        <w:jc w:val="both"/>
      </w:pPr>
      <w:r>
        <w:rPr>
          <w:rFonts w:ascii="Times New Roman" w:eastAsia="Times New Roman" w:hAnsi="Times New Roman" w:cs="Times New Roman"/>
        </w:rPr>
        <w:t>Kedua pesan ini sama-sama benar secara teologis, sebab Alkitab sendiri berbicara tentang Allah yang mahakudus sekaligus Allah yang berkenan tinggal di tengah umat-Nya (Immanuel). Tata ruang ibadah, dengan demikian, bukan sekadar soal selera desain, melainkan cara sebuah komunitas iman menghayati dan mengajarkan siapa Allah itu bagi anggotanya, termasuk bagi anggota baru dan anak-anak yang bertumbuh di dalamnya.</w:t>
      </w:r>
    </w:p>
    <w:p w:rsidR="00D53774" w:rsidRDefault="00D53774" w:rsidP="00D53774">
      <w:pPr>
        <w:spacing w:after="200" w:line="360" w:lineRule="auto"/>
        <w:ind w:firstLine="720"/>
        <w:jc w:val="both"/>
      </w:pPr>
      <w:r>
        <w:rPr>
          <w:rFonts w:ascii="Times New Roman" w:eastAsia="Times New Roman" w:hAnsi="Times New Roman" w:cs="Times New Roman"/>
        </w:rPr>
        <w:t xml:space="preserve">Persoalannya, penghayatan teologis ini tidak selalu disadari oleh jemaat biasa. Banyak orang mengikuti ibadah dengan tata ruang tertentu tanpa pernah bertanya mengapa ruangan itu ditata demikian, atau nilai apa yang sedang ditanamkan melalui bentuk fisik ruangan tersebut. Di sinilah pentingnya pendidikan teologis bagi jemaat, </w:t>
      </w:r>
      <w:r>
        <w:rPr>
          <w:rFonts w:ascii="Times New Roman" w:eastAsia="Times New Roman" w:hAnsi="Times New Roman" w:cs="Times New Roman"/>
        </w:rPr>
        <w:lastRenderedPageBreak/>
        <w:t>agar mereka tidak hanya menikmati ibadah secara emosional, tetapi juga memahami makna di balik ruang tempat mereka beribadah.</w:t>
      </w:r>
    </w:p>
    <w:p w:rsidR="00D53774" w:rsidRDefault="00D53774" w:rsidP="00D53774">
      <w:pPr>
        <w:pStyle w:val="Heading2"/>
        <w:spacing w:before="400" w:after="200"/>
      </w:pPr>
      <w:r>
        <w:rPr>
          <w:sz w:val="28"/>
          <w:szCs w:val="28"/>
        </w:rPr>
        <w:t>6 Perbandingan Singkat dengan Gereja Tradisional</w:t>
      </w:r>
    </w:p>
    <w:p w:rsidR="00D53774" w:rsidRDefault="00D53774" w:rsidP="00D53774">
      <w:pPr>
        <w:spacing w:after="200" w:line="360" w:lineRule="auto"/>
        <w:ind w:firstLine="720"/>
        <w:jc w:val="both"/>
      </w:pPr>
      <w:r>
        <w:rPr>
          <w:rFonts w:ascii="Times New Roman" w:eastAsia="Times New Roman" w:hAnsi="Times New Roman" w:cs="Times New Roman"/>
        </w:rPr>
        <w:t>Untuk memperjelas ciri khas gereja Pentakosta-Karismatik, ada baiknya dibandingkan secara singkat dengan gereja tradisional, misalnya gereja Katolik, Ortodoks, atau gereja Protestan arus utama yang mempertahankan liturgi lama.</w:t>
      </w:r>
    </w:p>
    <w:p w:rsidR="00D53774" w:rsidRDefault="00D53774" w:rsidP="00DE6205">
      <w:pPr>
        <w:spacing w:after="120" w:line="360" w:lineRule="auto"/>
      </w:pPr>
      <w:r>
        <w:t>Bentuk bangunan: gereja tradisional umumnya berbentuk salib atau memanjang dengan menara tinggi, sedangkan gereja Pentakosta-Karismatik lebih sering berbentuk aula atau auditorium tanpa menara mencolok.</w:t>
      </w:r>
    </w:p>
    <w:p w:rsidR="00D53774" w:rsidRDefault="00D53774" w:rsidP="00DE6205">
      <w:pPr>
        <w:spacing w:after="120" w:line="360" w:lineRule="auto"/>
      </w:pPr>
      <w:r>
        <w:t>Posisi altar: gereja tradisional menempatkan altar sebagai pusat sakral yang tetap dan sering dipagari, sedangkan gereja Pentakosta-Karismatik menempatkan panggung sebagai pusat perhatian yang terbuka dan dapat diubah tata letaknya.</w:t>
      </w:r>
    </w:p>
    <w:p w:rsidR="00D53774" w:rsidRDefault="00D53774" w:rsidP="00DE6205">
      <w:pPr>
        <w:spacing w:after="120" w:line="360" w:lineRule="auto"/>
      </w:pPr>
      <w:r>
        <w:t>Simbol visual: gereja tradisional kaya akan simbol permanen seperti patung, lukisan ikon, dan jendela kaca berwarna, sedangkan gereja Pentakosta-Karismatik lebih mengandalkan layar digital yang isinya dapat berubah setiap saat.</w:t>
      </w:r>
    </w:p>
    <w:p w:rsidR="00D53774" w:rsidRDefault="00D53774" w:rsidP="00DE6205">
      <w:pPr>
        <w:spacing w:after="120" w:line="360" w:lineRule="auto"/>
      </w:pPr>
      <w:r>
        <w:t>Peran musik: gereja tradisional memakai musik liturgis yang tetap dan terarah oleh urutan liturgi, sedangkan gereja Pentakosta-Karismatik memakai band kontemporer dengan gaya yang lebih bebas dan spontan.</w:t>
      </w:r>
    </w:p>
    <w:p w:rsidR="00D53774" w:rsidRDefault="00D53774" w:rsidP="00DE6205">
      <w:pPr>
        <w:spacing w:after="120" w:line="360" w:lineRule="auto"/>
      </w:pPr>
      <w:r>
        <w:t>Partisipasi tubuh jemaat: gereja tradisional lebih menekankan sikap tubuh yang tertib seperti berdiri, duduk, dan berlutut pada waktu tertentu, sedangkan gereja Pentakosta-Karismatik memberi ruang lebih besar bagi ekspresi tubuh yang spontan.</w:t>
      </w:r>
    </w:p>
    <w:p w:rsidR="00D53774" w:rsidRDefault="00D53774" w:rsidP="00D53774">
      <w:pPr>
        <w:spacing w:after="200" w:line="360" w:lineRule="auto"/>
        <w:ind w:firstLine="720"/>
        <w:jc w:val="both"/>
      </w:pPr>
      <w:r>
        <w:rPr>
          <w:rFonts w:ascii="Times New Roman" w:eastAsia="Times New Roman" w:hAnsi="Times New Roman" w:cs="Times New Roman"/>
        </w:rPr>
        <w:t>Perbandingan ini tidak dimaksudkan untuk menilai mana yang lebih benar, sebab keduanya lahir dari sejarah dan penekanan teologis yang berbeda. Yang penting untuk disadari adalah bahwa setiap pilihan arsitektur membawa konsekuensi bagi cara jemaat menghayati imannya, dan tidak ada bentuk ruang ibadah yang sepenuhnya netral dari pesan teologis.</w:t>
      </w:r>
    </w:p>
    <w:p w:rsidR="00D53774" w:rsidRDefault="00D53774" w:rsidP="00D53774">
      <w:pPr>
        <w:spacing w:after="200" w:line="360" w:lineRule="auto"/>
        <w:ind w:firstLine="720"/>
        <w:jc w:val="both"/>
      </w:pPr>
      <w:r>
        <w:rPr>
          <w:rFonts w:ascii="Times New Roman" w:eastAsia="Times New Roman" w:hAnsi="Times New Roman" w:cs="Times New Roman"/>
        </w:rPr>
        <w:lastRenderedPageBreak/>
        <w:t>Perbandingan di atas juga perlu dibaca secara hati-hati, sebab batas antara gereja tradisional dan gereja Pentakosta-Karismatik tidak selalu kaku. Ada gereja tradisional yang mulai mengadopsi layar digital dan musik kontemporer, dan sebaliknya ada gereja Pentakosta-Karismatik yang mulai merindukan unsur-unsur liturgi lama, seperti saat teduh, doa bersama secara tertulis, atau perayaan Perjamuan Kudus yang lebih hikmat dan tidak tergesa-gesa. Percampuran gaya semacam ini kadang disebut sebagai gerakan "blended worship", yang mencoba menggabungkan kekuatan dari kedua tradisi.</w:t>
      </w:r>
    </w:p>
    <w:p w:rsidR="00D53774" w:rsidRDefault="00D53774" w:rsidP="00D53774">
      <w:pPr>
        <w:spacing w:after="200" w:line="360" w:lineRule="auto"/>
        <w:ind w:firstLine="720"/>
        <w:jc w:val="both"/>
      </w:pPr>
      <w:r>
        <w:rPr>
          <w:rFonts w:ascii="Times New Roman" w:eastAsia="Times New Roman" w:hAnsi="Times New Roman" w:cs="Times New Roman"/>
        </w:rPr>
        <w:t>Fenomena ini menunjukkan bahwa tata ruang dan gaya ibadah bukanlah sesuatu yang statis, melainkan terus bergerak dan saling memengaruhi antar tradisi gereja. Oleh karena itu, penting bagi setiap gereja untuk tidak asal meniru bentuk gereja lain yang sedang populer, melainkan mempertimbangkan dengan sungguh-sungguh nilai teologis apa yang ingin ditekankan melalui bentuk ruang ibadahnya sendiri, sesuai konteks jemaat dan masyarakat setempat.</w:t>
      </w:r>
    </w:p>
    <w:p w:rsidR="00D53774" w:rsidRPr="00DE6205" w:rsidRDefault="00D53774" w:rsidP="00D53774">
      <w:pPr>
        <w:pStyle w:val="Heading2"/>
        <w:spacing w:before="400" w:after="200"/>
        <w:rPr>
          <w:sz w:val="32"/>
        </w:rPr>
      </w:pPr>
      <w:r w:rsidRPr="00DE6205">
        <w:rPr>
          <w:sz w:val="24"/>
          <w:szCs w:val="28"/>
        </w:rPr>
        <w:t>7 Tinjauan Kritis dan Pembaruan: Tata Ruang Ibadah yang Berpihak pada Kepedulian Sosial</w:t>
      </w:r>
    </w:p>
    <w:p w:rsidR="00D53774" w:rsidRDefault="00D53774" w:rsidP="00D53774">
      <w:pPr>
        <w:spacing w:after="200" w:line="360" w:lineRule="auto"/>
        <w:ind w:firstLine="720"/>
        <w:jc w:val="both"/>
      </w:pPr>
      <w:r>
        <w:rPr>
          <w:rFonts w:ascii="Times New Roman" w:eastAsia="Times New Roman" w:hAnsi="Times New Roman" w:cs="Times New Roman"/>
        </w:rPr>
        <w:t>Bagian ini menjadi bagian pembaruan (novelti) dari bab ini, sekaligus diharapkan dapat membuka ruang diskusi lebih lanjut bagi pembaca. Sejauh ini, pembahasan tata ruang dan arsitektur gereja Pentakosta-Karismatik cenderung berhenti pada pertanyaan teknis dan fungsional, misalnya bagaimana membuat ruang yang nyaman, akustik yang baik, atau panggung yang menarik. Pertanyaan yang jarang diajukan adalah pertanyaan etis: untuk siapa sebenarnya kemegahan itu dibangun, dan apa dampaknya bagi masyarakat di luar tembok gereja?</w:t>
      </w:r>
    </w:p>
    <w:p w:rsidR="00D53774" w:rsidRDefault="00D53774" w:rsidP="00D53774">
      <w:pPr>
        <w:spacing w:after="200" w:line="360" w:lineRule="auto"/>
        <w:ind w:firstLine="720"/>
        <w:jc w:val="both"/>
      </w:pPr>
      <w:r>
        <w:rPr>
          <w:rFonts w:ascii="Times New Roman" w:eastAsia="Times New Roman" w:hAnsi="Times New Roman" w:cs="Times New Roman"/>
        </w:rPr>
        <w:t xml:space="preserve">Tidak jarang ditemukan gereja yang membangun gedung besar, panggung mewah, dan sistem audio-visual kelas atas, sementara di sekitar gedung itu ada tetangga yang rumahnya bocor saat hujan, atau keluarga yang kesulitan memenuhi kebutuhan hidup sehari-hari. Ketimpangan semacam ini seharusnya menjadi bahan refleksi serius, </w:t>
      </w:r>
      <w:r>
        <w:rPr>
          <w:rFonts w:ascii="Times New Roman" w:eastAsia="Times New Roman" w:hAnsi="Times New Roman" w:cs="Times New Roman"/>
        </w:rPr>
        <w:lastRenderedPageBreak/>
        <w:t>bukan sekadar dianggap sebagai hal yang wajar karena "gereja sedang bertumbuh" atau "ini untuk kemuliaan Tuhan".</w:t>
      </w:r>
      <w:r>
        <w:rPr>
          <w:rStyle w:val="FootnoteReference"/>
        </w:rPr>
        <w:footnoteReference w:id="41"/>
      </w:r>
    </w:p>
    <w:p w:rsidR="00D53774" w:rsidRDefault="00D53774" w:rsidP="00D53774">
      <w:pPr>
        <w:pBdr>
          <w:left w:val="single" w:sz="12" w:space="8" w:color="999999"/>
        </w:pBdr>
        <w:spacing w:before="150" w:after="250" w:line="300" w:lineRule="auto"/>
        <w:ind w:left="720" w:right="720"/>
      </w:pPr>
      <w:r>
        <w:rPr>
          <w:rFonts w:ascii="Times New Roman" w:eastAsia="Times New Roman" w:hAnsi="Times New Roman" w:cs="Times New Roman"/>
          <w:i/>
          <w:iCs/>
          <w:sz w:val="22"/>
          <w:szCs w:val="22"/>
        </w:rPr>
        <w:t>Pertanyaan reflektif: Apakah kemegahan gedung ibadah benar-benar mencerminkan kemuliaan Allah, ataukah justru mengalihkan perhatian dari panggilan gereja untuk memanusiakan manusia, khususnya mereka yang menderita di sekitarnya?</w:t>
      </w:r>
    </w:p>
    <w:p w:rsidR="00D53774" w:rsidRDefault="00D53774" w:rsidP="00D53774">
      <w:pPr>
        <w:spacing w:after="200" w:line="360" w:lineRule="auto"/>
        <w:ind w:firstLine="720"/>
        <w:jc w:val="both"/>
      </w:pPr>
      <w:r>
        <w:rPr>
          <w:rFonts w:ascii="Times New Roman" w:eastAsia="Times New Roman" w:hAnsi="Times New Roman" w:cs="Times New Roman"/>
        </w:rPr>
        <w:t>Pemikiran ini bertolak dari sebuah keyakinan bahwa misi bukanlah milik gereja atau lembaga tertentu, melainkan milik Allah sendiri (missio Dei). Karena misi adalah milik Allah, maka arahnya bukan untuk membesarkan gereja atau denominasi, melainkan untuk memanusiakan manusia, yaitu memulihkan martabat, kondisi hidup, dan relasi manusia dengan Allah dan sesamanya. Jika demikian, tata ruang dan arsitektur ibadah semestinya juga diuji dengan pertanyaan ini: apakah desain ruang ibadah kita mendukung panggilan tersebut, atau justru menjauhkannya?</w:t>
      </w:r>
      <w:r>
        <w:rPr>
          <w:rStyle w:val="FootnoteReference"/>
        </w:rPr>
        <w:footnoteReference w:id="42"/>
      </w:r>
    </w:p>
    <w:p w:rsidR="00D53774" w:rsidRDefault="00D53774" w:rsidP="00D53774">
      <w:pPr>
        <w:spacing w:after="200" w:line="360" w:lineRule="auto"/>
        <w:ind w:firstLine="720"/>
        <w:jc w:val="both"/>
      </w:pPr>
      <w:r>
        <w:rPr>
          <w:rFonts w:ascii="Times New Roman" w:eastAsia="Times New Roman" w:hAnsi="Times New Roman" w:cs="Times New Roman"/>
        </w:rPr>
        <w:t>Dari sudut pandang ini, penulis mengusulkan beberapa gagasan pembaruan yang dapat menjadi bahan diskusi lanjutan bagi mahasiswa teologi, pelayan gereja, maupun arsitek yang terlibat dalam pembangunan rumah ibadah:</w:t>
      </w:r>
    </w:p>
    <w:p w:rsidR="00D53774" w:rsidRDefault="00D53774" w:rsidP="00DE6205">
      <w:pPr>
        <w:spacing w:after="120" w:line="360" w:lineRule="auto"/>
      </w:pPr>
      <w:r>
        <w:t>Prinsip kesederhanaan bermakna. Kemewahan bukanlah ukuran kesungguhan iman. Gereja dapat tetap memiliki fasilitas yang layak dan fungsional tanpa harus berlebihan, sehingga dana yang tersisa dapat dialokasikan untuk pelayanan sosial di sekitar gereja.</w:t>
      </w:r>
    </w:p>
    <w:p w:rsidR="00D53774" w:rsidRDefault="00D53774" w:rsidP="00DE6205">
      <w:pPr>
        <w:spacing w:after="120" w:line="360" w:lineRule="auto"/>
      </w:pPr>
      <w:r>
        <w:t xml:space="preserve">Ruang ibadah yang terhubung dengan ruang pelayanan sosial. Desain gedung gereja idealnya tidak hanya memikirkan ruang ibadah utama, tetapi juga menyediakan ruang untuk dapur umum, klinik sederhana, atau pusat bantuan bagi masyarakat </w:t>
      </w:r>
      <w:r>
        <w:lastRenderedPageBreak/>
        <w:t>sekitar, sehingga gedung gereja benar-benar menjadi berkat bagi lingkungan, bukan sekadar tempat berkumpul jemaat sendiri.</w:t>
      </w:r>
    </w:p>
    <w:p w:rsidR="00D53774" w:rsidRDefault="00D53774" w:rsidP="00DE6205">
      <w:pPr>
        <w:spacing w:after="120" w:line="360" w:lineRule="auto"/>
      </w:pPr>
      <w:r>
        <w:t>Transparansi anggaran pembangunan. Jemaat dan masyarakat sekitar berhak mengetahui bagaimana dana pembangunan gedung dialokasikan, termasuk berapa porsi yang dianggarkan untuk pelayanan sosial dibanding untuk kemewahan estetika dan teknologi panggung.</w:t>
      </w:r>
    </w:p>
    <w:p w:rsidR="00D53774" w:rsidRDefault="00D53774" w:rsidP="00DE6205">
      <w:pPr>
        <w:spacing w:after="120" w:line="360" w:lineRule="auto"/>
      </w:pPr>
      <w:r>
        <w:t>Evaluasi berkala terhadap makna simbolik ruang. Gereja perlu secara rutin bertanya kembali, apakah tata ruang ibadah yang ada masih sejalan dengan nilai-nilai yang ingin diajarkan, ataukah sudah bergeser menjadi sekadar mengikuti tren gereja lain atau budaya hiburan populer.</w:t>
      </w:r>
    </w:p>
    <w:p w:rsidR="00D53774" w:rsidRDefault="00D53774" w:rsidP="00DE6205">
      <w:pPr>
        <w:spacing w:after="120" w:line="360" w:lineRule="auto"/>
      </w:pPr>
      <w:r>
        <w:t>Pelibatan jemaat dan masyarakat sekitar dalam perencanaan. Sebelum membangun atau merenovasi gedung, ada baiknya gereja melibatkan masukan dari jemaat lintas usia dan bahkan warga sekitar, agar bangunan yang dihasilkan benar-benar mencerminkan kebutuhan bersama, bukan hanya selera segelintir pengambil keputusan.</w:t>
      </w:r>
    </w:p>
    <w:p w:rsidR="00D53774" w:rsidRDefault="00D53774" w:rsidP="00D53774">
      <w:pPr>
        <w:spacing w:after="200" w:line="360" w:lineRule="auto"/>
        <w:ind w:firstLine="720"/>
        <w:jc w:val="both"/>
      </w:pPr>
      <w:r>
        <w:rPr>
          <w:rFonts w:ascii="Times New Roman" w:eastAsia="Times New Roman" w:hAnsi="Times New Roman" w:cs="Times New Roman"/>
        </w:rPr>
        <w:t>Gagasan-gagasan ini tentu tidak dimaksudkan sebagai jawaban final, melainkan sebagai pintu masuk bagi diskusi yang lebih luas. Beberapa pertanyaan berikut dapat menjadi bahan renungan atau diskusi kelompok bagi pembaca buku ini:</w:t>
      </w:r>
    </w:p>
    <w:p w:rsidR="00D53774" w:rsidRDefault="00D53774" w:rsidP="00DE6205">
      <w:pPr>
        <w:spacing w:after="120" w:line="360" w:lineRule="auto"/>
      </w:pPr>
      <w:r>
        <w:t>Sejauh mana kemegahan arsitektur gereja memengaruhi cara jemaat memahami kehadiran Allah, dan sejauh mana hal itu justru bisa mengalihkan makna ibadah menjadi sekadar tontonan?</w:t>
      </w:r>
    </w:p>
    <w:p w:rsidR="00D53774" w:rsidRDefault="00D53774" w:rsidP="00DE6205">
      <w:pPr>
        <w:spacing w:after="120" w:line="360" w:lineRule="auto"/>
      </w:pPr>
      <w:r>
        <w:t>Bagaimana sebuah gereja dapat menyeimbangkan kebutuhan akan sarana ibadah yang layak dengan panggilan untuk peduli terhadap penderitaan masyarakat di sekitarnya?</w:t>
      </w:r>
    </w:p>
    <w:p w:rsidR="00D53774" w:rsidRDefault="00D53774" w:rsidP="00DE6205">
      <w:pPr>
        <w:spacing w:after="120" w:line="360" w:lineRule="auto"/>
      </w:pPr>
      <w:r>
        <w:t>Apa langkah konkret yang dapat diambil oleh gereja lokal, besar maupun kecil, untuk menjadikan gedung ibadahnya juga berfungsi sebagai ruang pelayanan sosial?</w:t>
      </w:r>
    </w:p>
    <w:p w:rsidR="00D53774" w:rsidRDefault="00D53774" w:rsidP="00DE6205">
      <w:pPr>
        <w:spacing w:after="120" w:line="360" w:lineRule="auto"/>
      </w:pPr>
      <w:r>
        <w:lastRenderedPageBreak/>
        <w:t>Siapa yang seharusnya dilibatkan dalam pengambilan keputusan tentang desain dan pembangunan gedung gereja, dan mengapa pelibatan itu penting?</w:t>
      </w:r>
    </w:p>
    <w:p w:rsidR="00D53774" w:rsidRDefault="00D53774" w:rsidP="00D53774">
      <w:pPr>
        <w:pStyle w:val="Heading3"/>
        <w:spacing w:before="300" w:after="150"/>
      </w:pPr>
      <w:r>
        <w:rPr>
          <w:i/>
          <w:iCs/>
          <w:sz w:val="24"/>
          <w:szCs w:val="24"/>
        </w:rPr>
        <w:t>7.1 Ilustrasi Sederhana</w:t>
      </w:r>
    </w:p>
    <w:p w:rsidR="00D53774" w:rsidRDefault="00D53774" w:rsidP="00D53774">
      <w:pPr>
        <w:spacing w:after="200" w:line="360" w:lineRule="auto"/>
        <w:ind w:firstLine="720"/>
        <w:jc w:val="both"/>
      </w:pPr>
      <w:r>
        <w:rPr>
          <w:rFonts w:ascii="Times New Roman" w:eastAsia="Times New Roman" w:hAnsi="Times New Roman" w:cs="Times New Roman"/>
        </w:rPr>
        <w:t>Untuk memperjelas persoalan ini, bayangkan sebuah gereja di sebuah kota yang setiap minggu memperbarui perangkat sound system dan layar LED-nya dengan teknologi terbaru, sementara beberapa ratus meter dari gedung itu ada keluarga yang tinggal di rumah beratap seng bocor dan kesulitan menyekolahkan anak-anaknya. Ilustrasi ini bukan untuk menghakimi gereja mana pun secara khusus, sebab situasi semacam ini dapat ditemukan di banyak tempat, dan setiap gereja tentu punya alasan serta pertimbangannya sendiri.</w:t>
      </w:r>
    </w:p>
    <w:p w:rsidR="00DE6205" w:rsidRDefault="00D53774" w:rsidP="00DE6205">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Namun, ilustrasi ini penting untuk membuka mata bahwa pertanyaan tentang tata ruang dan arsitektur ibadah tidak dapat dilepaskan dari konteks sosial di sekitarnya. Gedung gereja tidak berdiri di ruang hampa, melainkan di tengah masyarakat yang beragam kondisi ekonominya. Karena itu, keputusan arsitektural sesungguhnya juga adalah keputusan etis, meskipun jarang dipandang demikian oleh jemaat maupun pengambil kebijakan gereja.</w:t>
      </w:r>
    </w:p>
    <w:p w:rsidR="00D53774" w:rsidRDefault="00D53774" w:rsidP="00DE6205">
      <w:pPr>
        <w:spacing w:after="200" w:line="360" w:lineRule="auto"/>
        <w:jc w:val="both"/>
      </w:pPr>
      <w:r>
        <w:rPr>
          <w:i/>
          <w:iCs/>
        </w:rPr>
        <w:t>7.2 Bukan Menolak Kualitas, tetapi Menata Ulang Prioritas</w:t>
      </w:r>
    </w:p>
    <w:p w:rsidR="00D53774" w:rsidRDefault="00D53774" w:rsidP="00D53774">
      <w:pPr>
        <w:spacing w:after="200" w:line="360" w:lineRule="auto"/>
        <w:ind w:firstLine="720"/>
        <w:jc w:val="both"/>
      </w:pPr>
      <w:r>
        <w:rPr>
          <w:rFonts w:ascii="Times New Roman" w:eastAsia="Times New Roman" w:hAnsi="Times New Roman" w:cs="Times New Roman"/>
        </w:rPr>
        <w:t xml:space="preserve">Perlu ditegaskan bahwa gagasan pembaruan ini tidak sedang menolak penggunaan teknologi atau menuntut gereja untuk kembali ke bangunan yang seadanya. Sarana ibadah yang baik, nyaman, dan berkualitas tetap penting, sebab dapat mendukung penyampaian firman dan pujian secara maksimal. Yang sedang diusulkan di sini adalah penataan ulang prioritas, yaitu memastikan bahwa investasi pada gedung dan peralatan berjalan seiring, bukan menggantikan, investasi pada pelayanan terhadap manusia yang membutuhkan. Gagasan ini sejalan dengan pandangan bahwa yang membuat sebuah ruang menjadi kudus sesungguhnya bukanlah kemewahan bangunannya, melainkan kehadiran umat yang berkumpul dan hidup dalam kasih di </w:t>
      </w:r>
      <w:r>
        <w:rPr>
          <w:rFonts w:ascii="Times New Roman" w:eastAsia="Times New Roman" w:hAnsi="Times New Roman" w:cs="Times New Roman"/>
        </w:rPr>
        <w:lastRenderedPageBreak/>
        <w:t>dalamnya, sehingga kesederhanaan dalam berarsitektur justru dapat menjadi ungkapan iman yang paling jujur.</w:t>
      </w:r>
      <w:r>
        <w:rPr>
          <w:rStyle w:val="FootnoteReference"/>
        </w:rPr>
        <w:footnoteReference w:id="43"/>
      </w:r>
    </w:p>
    <w:p w:rsidR="00D53774" w:rsidRDefault="00D53774" w:rsidP="00D53774">
      <w:pPr>
        <w:spacing w:after="200" w:line="360" w:lineRule="auto"/>
        <w:ind w:firstLine="720"/>
        <w:jc w:val="both"/>
      </w:pPr>
      <w:r>
        <w:rPr>
          <w:rFonts w:ascii="Times New Roman" w:eastAsia="Times New Roman" w:hAnsi="Times New Roman" w:cs="Times New Roman"/>
        </w:rPr>
        <w:t>Dengan kata lain, pertanyaan yang perlu terus diajukan bukanlah "boleh atau tidak boleh gereja memiliki gedung megah", melainkan "apakah kemegahan itu berjalan bersama kepedulian yang nyata terhadap sesama, atau justru berdiri sendiri sebagai simbol pencapaian dan gengsi kelembagaan". Pembaruan cara berpikir semacam inilah yang diharapkan dapat terus didiskusikan, dikritisi, dan dikembangkan oleh pembaca buku ini, terutama oleh generasi pemimpin gereja yang akan datang.</w:t>
      </w:r>
    </w:p>
    <w:p w:rsidR="00D53774" w:rsidRDefault="00D53774" w:rsidP="00D53774">
      <w:pPr>
        <w:pStyle w:val="Heading2"/>
        <w:spacing w:before="400" w:after="200"/>
      </w:pPr>
      <w:r>
        <w:rPr>
          <w:sz w:val="28"/>
          <w:szCs w:val="28"/>
        </w:rPr>
        <w:t>8 Kesimpulan</w:t>
      </w:r>
    </w:p>
    <w:p w:rsidR="00D53774" w:rsidRDefault="00D53774" w:rsidP="00D53774">
      <w:pPr>
        <w:spacing w:after="200" w:line="360" w:lineRule="auto"/>
        <w:ind w:firstLine="720"/>
        <w:jc w:val="both"/>
      </w:pPr>
      <w:r>
        <w:rPr>
          <w:rFonts w:ascii="Times New Roman" w:eastAsia="Times New Roman" w:hAnsi="Times New Roman" w:cs="Times New Roman"/>
        </w:rPr>
        <w:t xml:space="preserve">Tata ruang, arsitektur, dan peralatan penunjang dalam ibadah Pentakosta-Karismatik bukanlah hal yang netral atau sekadar urusan teknis semata. Semua itu lahir dari dan sekaligus membentuk cara jemaat memahami kehadiran Allah, </w:t>
      </w:r>
      <w:r>
        <w:rPr>
          <w:rFonts w:cs="Times New Roman"/>
          <w:lang w:val="id-ID"/>
        </w:rPr>
        <w:t>s</w:t>
      </w:r>
      <w:r>
        <w:rPr>
          <w:rFonts w:ascii="Times New Roman" w:eastAsia="Times New Roman" w:hAnsi="Times New Roman" w:cs="Times New Roman"/>
        </w:rPr>
        <w:t>mengekspresikan iman, dan menjalani kehidupan bersama sebagai komunitas rohani. Panggung yang terbuka, sistem suara yang canggih, layar digital yang dinamis, hingga ruang doa yang tenang, semuanya adalah bahasa arsitektural yang menyampaikan pesan teologis tertentu kepada jemaat yang hadir di dalamnya.</w:t>
      </w:r>
    </w:p>
    <w:p w:rsidR="00D53774" w:rsidRDefault="00D53774" w:rsidP="00D53774">
      <w:pPr>
        <w:spacing w:after="200" w:line="360" w:lineRule="auto"/>
        <w:ind w:firstLine="720"/>
        <w:jc w:val="both"/>
      </w:pPr>
      <w:r>
        <w:rPr>
          <w:rFonts w:ascii="Times New Roman" w:eastAsia="Times New Roman" w:hAnsi="Times New Roman" w:cs="Times New Roman"/>
        </w:rPr>
        <w:t>Meski demikian, bab ini juga mengajak pembaca untuk tidak berhenti pada kekaguman terhadap kecanggihan dan kemegahan semata. Gereja perlu terus-menerus mengevaluasi apakah tata ruang ibadahnya benar-benar melayani panggilan Allah untuk memanusiakan manusia, atau justru menjauhkannya dari kepekaan terhadap penderitaan sesama di sekitarnya. Dengan demikian, pembahasan tentang tata ruang ibadah tidak berhenti sebagai catatan sejarah atau deskripsi teknis, melainkan menjadi ajakan reflektif yang hidup dan terus relevan untuk didiskusikan oleh generasi gereja masa kini dan mendatang.</w:t>
      </w:r>
    </w:p>
    <w:p w:rsidR="00D53774" w:rsidRDefault="00D53774" w:rsidP="00D53774">
      <w:pPr>
        <w:spacing w:after="200" w:line="360" w:lineRule="auto"/>
        <w:ind w:firstLine="720"/>
        <w:jc w:val="both"/>
      </w:pPr>
      <w:r>
        <w:rPr>
          <w:rFonts w:ascii="Times New Roman" w:eastAsia="Times New Roman" w:hAnsi="Times New Roman" w:cs="Times New Roman"/>
        </w:rPr>
        <w:lastRenderedPageBreak/>
        <w:t>Sebagai penutup, penulis mengajak pembaca untuk membawa bab ini bukan sebagai informasi yang selesai dibaca lalu dilupakan, melainkan sebagai bahan diskusi bersama di lingkungan pelayanan masing-masing, baik dalam kelompok mahasiswa teologi, rapat majelis gereja, maupun forum pelatihan pelayan ibadah. Dengan mendiskusikan pertanyaan-pertanyaan yang diajukan pada bagian pembaruan di atas secara jujur dan terbuka, diharapkan gereja-gereja Pentakosta-Karismatik dapat terus bertumbuh, tidak hanya dalam hal kemegahan fasilitas, tetapi juga dalam kedalaman kasih dan kepedulian terhadap sesama manusia.</w:t>
      </w:r>
    </w:p>
    <w:p w:rsidR="00D53774" w:rsidRDefault="00D53774" w:rsidP="00D53774">
      <w:pPr>
        <w:pStyle w:val="Heading2"/>
        <w:spacing w:before="400" w:after="200"/>
        <w:rPr>
          <w:b w:val="0"/>
          <w:bCs w:val="0"/>
          <w:sz w:val="28"/>
          <w:szCs w:val="28"/>
        </w:rPr>
      </w:pPr>
    </w:p>
    <w:p w:rsidR="00D53774" w:rsidRDefault="00D53774" w:rsidP="00D53774">
      <w:pPr>
        <w:pStyle w:val="ListParagraph"/>
        <w:numPr>
          <w:ilvl w:val="0"/>
          <w:numId w:val="43"/>
        </w:numPr>
        <w:spacing w:after="120" w:line="360" w:lineRule="auto"/>
      </w:pPr>
    </w:p>
    <w:p w:rsidR="00D53774" w:rsidRDefault="00D53774" w:rsidP="00D53774">
      <w:pPr>
        <w:pStyle w:val="Heading2"/>
        <w:spacing w:before="400" w:after="200"/>
      </w:pPr>
      <w:r>
        <w:rPr>
          <w:sz w:val="28"/>
          <w:szCs w:val="28"/>
        </w:rPr>
        <w:t>Daftar Pustaka</w:t>
      </w:r>
    </w:p>
    <w:p w:rsidR="00D53774" w:rsidRDefault="00D53774" w:rsidP="00D53774">
      <w:pPr>
        <w:spacing w:after="150" w:line="300" w:lineRule="auto"/>
        <w:ind w:left="720" w:hanging="720"/>
      </w:pPr>
      <w:r>
        <w:rPr>
          <w:rFonts w:ascii="Times New Roman" w:eastAsia="Times New Roman" w:hAnsi="Times New Roman" w:cs="Times New Roman"/>
          <w:sz w:val="22"/>
          <w:szCs w:val="22"/>
        </w:rPr>
        <w:t>Anderson, Allan. An Introduction to Pentecostalism: Global Charismatic Christianity. 2nd ed. Cambridge: Cambridge University Press, 2014.</w:t>
      </w:r>
    </w:p>
    <w:p w:rsidR="00D53774" w:rsidRDefault="00D53774" w:rsidP="00D53774">
      <w:pPr>
        <w:spacing w:after="150" w:line="300" w:lineRule="auto"/>
        <w:ind w:left="720" w:hanging="720"/>
      </w:pPr>
      <w:r>
        <w:rPr>
          <w:rFonts w:ascii="Times New Roman" w:eastAsia="Times New Roman" w:hAnsi="Times New Roman" w:cs="Times New Roman"/>
          <w:sz w:val="22"/>
          <w:szCs w:val="22"/>
        </w:rPr>
        <w:t>Bosch, David J. Transforming Mission: Paradigm Shifts in Theology of Mission. Maryknoll, NY: Orbis Books, 1991.</w:t>
      </w:r>
    </w:p>
    <w:p w:rsidR="00D53774" w:rsidRDefault="00D53774" w:rsidP="00D53774">
      <w:pPr>
        <w:spacing w:after="150" w:line="300" w:lineRule="auto"/>
        <w:ind w:left="720" w:hanging="720"/>
      </w:pPr>
      <w:r>
        <w:rPr>
          <w:rFonts w:ascii="Times New Roman" w:eastAsia="Times New Roman" w:hAnsi="Times New Roman" w:cs="Times New Roman"/>
          <w:sz w:val="22"/>
          <w:szCs w:val="22"/>
        </w:rPr>
        <w:t>Chan, Simon. Pentecostal Theology and the Christian Spiritual Tradition. Sheffield: Sheffield Academic Press, 2000.</w:t>
      </w:r>
    </w:p>
    <w:p w:rsidR="00D53774" w:rsidRDefault="00D53774" w:rsidP="00D53774">
      <w:pPr>
        <w:spacing w:after="150" w:line="300" w:lineRule="auto"/>
        <w:ind w:left="720" w:hanging="720"/>
      </w:pPr>
      <w:r>
        <w:rPr>
          <w:rFonts w:ascii="Times New Roman" w:eastAsia="Times New Roman" w:hAnsi="Times New Roman" w:cs="Times New Roman"/>
          <w:sz w:val="22"/>
          <w:szCs w:val="22"/>
        </w:rPr>
        <w:t>Cox, Harvey. Fire from Heaven: The Rise of Pentecostal Spirituality and the Reshaping of Religion in the Twenty-First Century. Cambridge, MA: Da Capo Press, 2001.</w:t>
      </w:r>
    </w:p>
    <w:p w:rsidR="00D53774" w:rsidRDefault="00D53774" w:rsidP="00D53774">
      <w:pPr>
        <w:spacing w:after="150" w:line="300" w:lineRule="auto"/>
        <w:ind w:left="720" w:hanging="720"/>
      </w:pPr>
      <w:r>
        <w:rPr>
          <w:rFonts w:ascii="Times New Roman" w:eastAsia="Times New Roman" w:hAnsi="Times New Roman" w:cs="Times New Roman"/>
          <w:sz w:val="22"/>
          <w:szCs w:val="22"/>
        </w:rPr>
        <w:t>Kieckhefer, Richard. Theology in Stone: Church Architecture from Byzantium to Berkeley. New York: Oxford University Press, 2004.</w:t>
      </w:r>
    </w:p>
    <w:p w:rsidR="00D53774" w:rsidRDefault="00D53774" w:rsidP="00D53774">
      <w:pPr>
        <w:spacing w:after="150" w:line="300" w:lineRule="auto"/>
        <w:ind w:left="720" w:hanging="720"/>
      </w:pPr>
      <w:r>
        <w:rPr>
          <w:rFonts w:ascii="Times New Roman" w:eastAsia="Times New Roman" w:hAnsi="Times New Roman" w:cs="Times New Roman"/>
          <w:sz w:val="22"/>
          <w:szCs w:val="22"/>
        </w:rPr>
        <w:t>Kilde, Jeanne Halgren. When Church Became Theatre: The Transformation of Evangelical Architecture and Worship in Nineteenth-Century America. New York: Oxford University Press, 2002.</w:t>
      </w:r>
    </w:p>
    <w:p w:rsidR="00D53774" w:rsidRDefault="00D53774" w:rsidP="00D53774">
      <w:pPr>
        <w:spacing w:after="150" w:line="300" w:lineRule="auto"/>
        <w:ind w:left="720" w:hanging="720"/>
      </w:pPr>
      <w:r>
        <w:rPr>
          <w:rFonts w:ascii="Times New Roman" w:eastAsia="Times New Roman" w:hAnsi="Times New Roman" w:cs="Times New Roman"/>
          <w:sz w:val="22"/>
          <w:szCs w:val="22"/>
        </w:rPr>
        <w:t>Sider, Ronald J. Rich Christians in an Age of Hunger: Moving from Affluence to Generosity. 6th ed. Nashville: Thomas Nelson, 2015.</w:t>
      </w:r>
    </w:p>
    <w:p w:rsidR="00D53774" w:rsidRDefault="00D53774" w:rsidP="00D53774">
      <w:pPr>
        <w:spacing w:after="150" w:line="300" w:lineRule="auto"/>
        <w:ind w:left="720" w:hanging="720"/>
      </w:pPr>
      <w:r>
        <w:rPr>
          <w:rFonts w:ascii="Times New Roman" w:eastAsia="Times New Roman" w:hAnsi="Times New Roman" w:cs="Times New Roman"/>
          <w:sz w:val="22"/>
          <w:szCs w:val="22"/>
        </w:rPr>
        <w:t>Simanjuntak, Fredy. "Menelisik Spiritualitas Gerakan Pentakostal-Kharismatik dalam Potret Megachurch di Indonesia." Diegesis: Jurnal Teologi Kharismatika 6, no. 2 (2023).</w:t>
      </w:r>
    </w:p>
    <w:p w:rsidR="00D53774" w:rsidRDefault="00D53774" w:rsidP="00D53774">
      <w:pPr>
        <w:spacing w:after="150" w:line="300" w:lineRule="auto"/>
        <w:ind w:left="720" w:hanging="720"/>
      </w:pPr>
      <w:r>
        <w:rPr>
          <w:rFonts w:ascii="Times New Roman" w:eastAsia="Times New Roman" w:hAnsi="Times New Roman" w:cs="Times New Roman"/>
          <w:sz w:val="22"/>
          <w:szCs w:val="22"/>
        </w:rPr>
        <w:lastRenderedPageBreak/>
        <w:t>Smith, James K. A. Desiring the Kingdom: Worship, Worldview, and Cultural Formation. Grand Rapids, MI: Baker Academic, 2009.</w:t>
      </w:r>
    </w:p>
    <w:p w:rsidR="00D53774" w:rsidRDefault="00D53774" w:rsidP="00D53774">
      <w:pPr>
        <w:spacing w:after="150" w:line="300" w:lineRule="auto"/>
        <w:ind w:left="720" w:hanging="720"/>
      </w:pPr>
      <w:r>
        <w:rPr>
          <w:rFonts w:ascii="Times New Roman" w:eastAsia="Times New Roman" w:hAnsi="Times New Roman" w:cs="Times New Roman"/>
          <w:sz w:val="22"/>
          <w:szCs w:val="22"/>
        </w:rPr>
        <w:t>Sövik, Edward A. Architecture for Worship. Minneapolis: Augsburg Publishing House, 1973.</w:t>
      </w:r>
    </w:p>
    <w:p w:rsidR="00D53774" w:rsidRDefault="00D53774" w:rsidP="00D53774">
      <w:pPr>
        <w:spacing w:after="150" w:line="300" w:lineRule="auto"/>
        <w:ind w:left="720" w:hanging="720"/>
      </w:pPr>
      <w:r>
        <w:rPr>
          <w:rFonts w:ascii="Times New Roman" w:eastAsia="Times New Roman" w:hAnsi="Times New Roman" w:cs="Times New Roman"/>
          <w:sz w:val="22"/>
          <w:szCs w:val="22"/>
        </w:rPr>
        <w:t>Volf, Miroslav. Exclusion and Embrace: A Theological Exploration of Identity, Otherness, and Reconciliation. Nashville: Abingdon Press, 1996.</w:t>
      </w:r>
    </w:p>
    <w:p w:rsidR="00D53774" w:rsidRDefault="00D53774" w:rsidP="00D53774">
      <w:pPr>
        <w:spacing w:after="150" w:line="300" w:lineRule="auto"/>
        <w:ind w:left="720" w:hanging="720"/>
      </w:pPr>
      <w:r>
        <w:rPr>
          <w:rFonts w:ascii="Times New Roman" w:eastAsia="Times New Roman" w:hAnsi="Times New Roman" w:cs="Times New Roman"/>
          <w:sz w:val="22"/>
          <w:szCs w:val="22"/>
        </w:rPr>
        <w:t>Wacker, Grant. Heaven Below: Early Pentecostals and American Culture. Cambridge, MA: Harvard University Press, 2001.</w:t>
      </w:r>
    </w:p>
    <w:p w:rsidR="00DE6205" w:rsidRDefault="00DE6205" w:rsidP="00D53774">
      <w:pPr>
        <w:jc w:val="both"/>
        <w:rPr>
          <w:b/>
          <w:sz w:val="28"/>
          <w:szCs w:val="28"/>
        </w:rPr>
      </w:pPr>
    </w:p>
    <w:p w:rsidR="00DE6205" w:rsidRDefault="00DE6205" w:rsidP="00D53774">
      <w:pPr>
        <w:jc w:val="both"/>
        <w:rPr>
          <w:b/>
          <w:sz w:val="28"/>
          <w:szCs w:val="28"/>
        </w:rPr>
      </w:pPr>
    </w:p>
    <w:p w:rsidR="00DE6205" w:rsidRDefault="00DE6205" w:rsidP="00D53774">
      <w:pPr>
        <w:jc w:val="both"/>
        <w:rPr>
          <w:b/>
          <w:sz w:val="28"/>
          <w:szCs w:val="28"/>
        </w:rPr>
      </w:pPr>
    </w:p>
    <w:p w:rsidR="00DE6205" w:rsidRDefault="00DE6205" w:rsidP="00D53774">
      <w:pPr>
        <w:jc w:val="both"/>
        <w:rPr>
          <w:b/>
          <w:sz w:val="28"/>
          <w:szCs w:val="28"/>
        </w:rPr>
      </w:pPr>
    </w:p>
    <w:p w:rsidR="00DE6205" w:rsidRDefault="00DE6205" w:rsidP="00D53774">
      <w:pPr>
        <w:jc w:val="both"/>
        <w:rPr>
          <w:b/>
          <w:sz w:val="28"/>
          <w:szCs w:val="28"/>
        </w:rPr>
      </w:pPr>
    </w:p>
    <w:p w:rsidR="00DE6205" w:rsidRDefault="00DE6205" w:rsidP="00D53774">
      <w:pPr>
        <w:jc w:val="both"/>
        <w:rPr>
          <w:b/>
          <w:sz w:val="28"/>
          <w:szCs w:val="28"/>
        </w:rPr>
      </w:pPr>
    </w:p>
    <w:p w:rsidR="00DE6205" w:rsidRDefault="00DE6205" w:rsidP="00D53774">
      <w:pPr>
        <w:jc w:val="both"/>
        <w:rPr>
          <w:b/>
          <w:sz w:val="28"/>
          <w:szCs w:val="28"/>
        </w:rPr>
      </w:pPr>
    </w:p>
    <w:p w:rsidR="00DE6205" w:rsidRDefault="00DE6205" w:rsidP="00D53774">
      <w:pPr>
        <w:jc w:val="both"/>
        <w:rPr>
          <w:b/>
          <w:sz w:val="28"/>
          <w:szCs w:val="28"/>
        </w:rPr>
      </w:pPr>
    </w:p>
    <w:p w:rsidR="00DE6205" w:rsidRDefault="00DE6205" w:rsidP="00D53774">
      <w:pPr>
        <w:jc w:val="both"/>
        <w:rPr>
          <w:b/>
          <w:sz w:val="28"/>
          <w:szCs w:val="28"/>
        </w:rPr>
      </w:pPr>
    </w:p>
    <w:p w:rsidR="00DE6205" w:rsidRDefault="00DE6205" w:rsidP="00D53774">
      <w:pPr>
        <w:jc w:val="both"/>
        <w:rPr>
          <w:b/>
          <w:sz w:val="28"/>
          <w:szCs w:val="28"/>
        </w:rPr>
      </w:pPr>
    </w:p>
    <w:p w:rsidR="00DE6205" w:rsidRDefault="00DE6205" w:rsidP="00D53774">
      <w:pPr>
        <w:jc w:val="both"/>
        <w:rPr>
          <w:b/>
          <w:sz w:val="28"/>
          <w:szCs w:val="28"/>
        </w:rPr>
      </w:pPr>
    </w:p>
    <w:p w:rsidR="00DE6205" w:rsidRDefault="00DE6205" w:rsidP="00D53774">
      <w:pPr>
        <w:jc w:val="both"/>
        <w:rPr>
          <w:b/>
          <w:sz w:val="28"/>
          <w:szCs w:val="28"/>
        </w:rPr>
      </w:pPr>
    </w:p>
    <w:p w:rsidR="00DE6205" w:rsidRDefault="00DE6205" w:rsidP="00D53774">
      <w:pPr>
        <w:jc w:val="both"/>
        <w:rPr>
          <w:b/>
          <w:sz w:val="28"/>
          <w:szCs w:val="28"/>
        </w:rPr>
      </w:pPr>
    </w:p>
    <w:p w:rsidR="00DE6205" w:rsidRDefault="00DE6205" w:rsidP="00D53774">
      <w:pPr>
        <w:jc w:val="both"/>
        <w:rPr>
          <w:b/>
          <w:sz w:val="28"/>
          <w:szCs w:val="28"/>
        </w:rPr>
      </w:pPr>
    </w:p>
    <w:p w:rsidR="00DE6205" w:rsidRDefault="00DE6205" w:rsidP="00D53774">
      <w:pPr>
        <w:jc w:val="both"/>
        <w:rPr>
          <w:b/>
          <w:sz w:val="28"/>
          <w:szCs w:val="28"/>
        </w:rPr>
      </w:pPr>
    </w:p>
    <w:p w:rsidR="00DE6205" w:rsidRDefault="00DE6205" w:rsidP="00D53774">
      <w:pPr>
        <w:jc w:val="both"/>
        <w:rPr>
          <w:b/>
          <w:sz w:val="28"/>
          <w:szCs w:val="28"/>
        </w:rPr>
      </w:pPr>
    </w:p>
    <w:p w:rsidR="00DE6205" w:rsidRDefault="00DE6205" w:rsidP="00D53774">
      <w:pPr>
        <w:jc w:val="both"/>
        <w:rPr>
          <w:b/>
          <w:sz w:val="28"/>
          <w:szCs w:val="28"/>
        </w:rPr>
      </w:pPr>
    </w:p>
    <w:p w:rsidR="00DE6205" w:rsidRPr="00DE6205" w:rsidRDefault="00DE6205" w:rsidP="00DE6205">
      <w:pPr>
        <w:jc w:val="center"/>
        <w:rPr>
          <w:rFonts w:ascii="Times New Roman" w:hAnsi="Times New Roman" w:cs="Times New Roman"/>
          <w:b/>
          <w:szCs w:val="28"/>
        </w:rPr>
      </w:pPr>
      <w:r w:rsidRPr="00DE6205">
        <w:rPr>
          <w:rFonts w:ascii="Times New Roman" w:hAnsi="Times New Roman" w:cs="Times New Roman"/>
          <w:b/>
          <w:szCs w:val="28"/>
        </w:rPr>
        <w:lastRenderedPageBreak/>
        <w:t>BAB V</w:t>
      </w:r>
    </w:p>
    <w:p w:rsidR="00D53774" w:rsidRPr="00DE6205" w:rsidRDefault="00D53774" w:rsidP="00DE6205">
      <w:pPr>
        <w:jc w:val="center"/>
        <w:rPr>
          <w:rFonts w:ascii="Times New Roman" w:hAnsi="Times New Roman" w:cs="Times New Roman"/>
          <w:szCs w:val="28"/>
        </w:rPr>
      </w:pPr>
      <w:r w:rsidRPr="00DE6205">
        <w:rPr>
          <w:rFonts w:ascii="Times New Roman" w:hAnsi="Times New Roman" w:cs="Times New Roman"/>
          <w:b/>
          <w:szCs w:val="28"/>
        </w:rPr>
        <w:t>ETIKA KEPEMIMPINAN DALAM PELAYANAN MUSIK GEREJA</w:t>
      </w:r>
    </w:p>
    <w:p w:rsidR="00D53774" w:rsidRDefault="00D53774" w:rsidP="00D53774"/>
    <w:p w:rsidR="00D53774" w:rsidRDefault="00D53774" w:rsidP="00D53774">
      <w:pPr>
        <w:rPr>
          <w:b/>
          <w:bCs/>
        </w:rPr>
      </w:pPr>
      <w:r>
        <w:rPr>
          <w:b/>
          <w:bCs/>
        </w:rPr>
        <w:t>PENDAHULUAN</w:t>
      </w:r>
    </w:p>
    <w:p w:rsidR="00D53774" w:rsidRDefault="00D53774" w:rsidP="00D53774">
      <w:r>
        <w:t>Musik memegang peranan yang sangat penting di dalam kehidupan, selama ini musik selalu menjadi bagian dari peradaban manusia. Dalam agama Kristen sendiri musik adalah suatu bagian yang tidak dapat terpisahkan, bahkan agama Kristen sendiri sering disebut sebagai agama bernyanyi, dan bahkan ada Kalimat yang mengatakan “Jemaat Kristen adalah jemaat yang menyanyi”. Hal tersebut terjadi karena dalam penyembahan Kristen ada elemen yang sangat menarik, yaitu adanya nyanyian dan instrument yang hadir sebagai bagian dari prosesi ibadah/tata ibadah di gereja (Mawene, 2004, p. 42).Bila kita melihat dalam Kejadian 4:21, kita dapat menemukan bahwa alat musik pertama ditemukan dan dimainkan oleh Yubal, salah satu keturunan kain. Dalam proses perkembangannya, diceritakan pada masa pemerintahan Daud, dimana alat musik dapat dimainkan oleh orang yang profesional dalam bidang musik. Ada lagu perang, lagu kekalahan dan lagu kemenangan di era ini. Bila kita lihat dari kitab 1 Samuel 18:7 dimana para perempuan-perempuan menyanyikan lagu sambil menari-nari diiringi oleh rebana dan lira untuk kemenangan atas Daud (Bandingkan: Mazmur 33: 3, Mazmur 81: 3 dan 2 Tawarikh 20:28). Demikian musik terus berkembang pada masa Salomo pada saat dibangunnya bait Allah, ibadah menjadi sebuah hal yang sangat spektakuler dan mewah.</w:t>
      </w:r>
    </w:p>
    <w:p w:rsidR="00D53774" w:rsidRDefault="00D53774" w:rsidP="00D53774">
      <w:pPr>
        <w:jc w:val="both"/>
      </w:pPr>
      <w:r>
        <w:t>Pelayanan musik merupakan bagian penting dalam kehidupan gereja. Melalui nyanyian, permainan alat musik, paduan suara, dan pujian bersama, jemaat mengungkapkan iman, mengingat karya Allah, memahami firman, serta membangun persekutuan. Karena itu, musik dalam ibadah Kristen tidak tepat dipahami hanya sebagai pengisi acara atau sarana menciptakan suasana yang meriah. Musik juga mempunyai fungsi teologis dan pastoral: lirik dapat mengajar iman, nyanyian bersama dapat memperkuat rasa kebersamaan, dan cara pelayanan dilakukan dapat memperlihatkan nilai-nilai Injil. Kolose 3:16 dan Efesus 5:19 menegaskan hubungan antara nyanyian, firman, dan kehidupan bersama orang percaya.</w:t>
      </w:r>
    </w:p>
    <w:p w:rsidR="00D53774" w:rsidRDefault="00D53774" w:rsidP="00D53774">
      <w:pPr>
        <w:jc w:val="both"/>
      </w:pPr>
      <w:r>
        <w:t xml:space="preserve">Meskipun demikian, kualitas pelayanan musik tidak cukup diukur dari kemampuan bernyanyi, permainan instrumen, atau kecanggihan tata suara. Karakter pemimpin, cara mengambil keputusan, kemampuan bekerja sama, dan kesediaan melayani turut </w:t>
      </w:r>
      <w:r>
        <w:lastRenderedPageBreak/>
        <w:t>menentukan sehat atau tidaknya pelayanan. Pemimpin yang berbakat dapat merusak suasana tim apabila merendahkan anggota, menolak kritik, mencari pujian bagi diri sendiri, atau menggunakan jabatan untuk mengendalikan orang lain. Sebaliknya, pemimpin yang rendah hati mengembangkan keterampilan musik sekaligus membangun relasi yang adil dan saling menghormati. Dengan demikian, persoalan utama yang dibahas dalam tulisan ini adalah bagaimana kepemimpinan musik dapat menjaga mutu pelayanan tanpa mengabaikan martabat, pertumbuhan, dan kesejahteraan orang-orang yang terlibat.</w:t>
      </w:r>
    </w:p>
    <w:p w:rsidR="00D53774" w:rsidRDefault="00D53774" w:rsidP="00D53774">
      <w:pPr>
        <w:jc w:val="both"/>
      </w:pPr>
      <w:r>
        <w:t>Etika kepemimpinan dalam pelayanan musik gereja membahas prinsip moral dan rohani yang menuntun pemimpin menggunakan kewenangan serta tanggung jawabnya secara benar. Penilaian etis tidak cukup bertanya apakah suatu penampilan berhasil atau terdengar bagus, tetapi juga apakah prosesnya mencerminkan kasih, kejujuran, keadilan, kerendahan hati, dan tujuan ibadah Kristen. Pelayanan yang tampak berhasil secara musikal tetap perlu dikritisi apabila dibangun melalui manipulasi, pilih kasih, penghinaan, atau pengabaian terhadap anggota. Sebaliknya, niat baik saja juga tidak cukup jika pemimpin mengabaikan persiapan, kedisiplinan, dan tanggung jawab kepada jemaat.</w:t>
      </w:r>
    </w:p>
    <w:p w:rsidR="00D53774" w:rsidRDefault="00D53774" w:rsidP="00D53774">
      <w:pPr>
        <w:jc w:val="both"/>
      </w:pPr>
      <w:r>
        <w:t>Alkitab menjadi dasar utama untuk menilai kepemimpinan dalam pelayanan musik. Kolose 3:16 menghubungkan nyanyian dengan firman Kristus yang tinggal dengan kaya di tengah jemaat, sedangkan Efesus 5:19 menunjukkan bahwa nyanyian diarahkan kepada Tuhan sekaligus membangun kehidupan bersama. Markus 10:42–45 memberi prinsip bahwa kepemimpinan Kristen harus dijalankan sebagai pelayanan, bukan dominasi. Ayat-ayat tersebut tidak secara langsung memberikan petunjuk teknis tentang pemilihan mikrofon, susunan lagu, atau jadwal latihan; karena itu, prinsip Alkitab perlu ditafsirkan sesuai konteksnya lalu diterapkan secara bertanggung jawab pada situasi pelayanan masa kini.</w:t>
      </w:r>
    </w:p>
    <w:p w:rsidR="00D53774" w:rsidRDefault="00D53774" w:rsidP="00D53774">
      <w:pPr>
        <w:jc w:val="both"/>
      </w:pPr>
      <w:r>
        <w:t xml:space="preserve">Musik dalam ibadah adalah suatu bagian yang sangat begitu penting. Bahkan proses musik menjadi bagian dalam suatu ibadah itu sudah terjadi begitu sangat lama. Karena fungsi musik sendiri begitu luas yaitu 1) sebagai ungkapan ekspresi kita akan apa yang dialami dan dirasakan serta 2) dapat sebagai sarana komunikasi. Dari hal tersebutjuga kita mengetahui bahwa musik begitu penting di dalam ibadah gereja. Karena dengan adanya musik kita dapat mengekspresikan betapa Tuhan itu besar dan ajaib (melalui mazmur-mazmur yang kita tuangkan dan kita serukan dalam lirik musik tersebut), lalu dapat juga sebagai bentuk permohonan doa kita kepada Tuhan (dalam hal ini adalah bentuk komunikasi kita kepada Tuhan), lalu dapat juga sebagai sarana pemulihan bagi </w:t>
      </w:r>
      <w:r>
        <w:lastRenderedPageBreak/>
        <w:t>jiwa kita dan tidak kalah pentingnya dapat sebagai pengantar akan firman Tuhan melalui isi lirik atau juga sebelum hamba Tuhan akan menyampaikan kotbah di atas mimbar. Satu hal yang perlu diperhatikan dalam musik yang akan dibawakan di dalam ibadah adalah soal sikap “hati” karena musik ini akan membangun setiap umat dan juga sebagai penyembahan kepada Allah, baik dari sejak dahulu bahkan sampai sekarang ini.</w:t>
      </w:r>
    </w:p>
    <w:p w:rsidR="00D53774" w:rsidRPr="00DE6205" w:rsidRDefault="00D53774" w:rsidP="00D53774">
      <w:pPr>
        <w:pStyle w:val="Heading1"/>
        <w:rPr>
          <w:sz w:val="24"/>
          <w:szCs w:val="24"/>
        </w:rPr>
      </w:pPr>
      <w:r w:rsidRPr="00DE6205">
        <w:rPr>
          <w:sz w:val="24"/>
          <w:szCs w:val="24"/>
        </w:rPr>
        <w:t>1. PENGERTIAN ETIKA KEPEMIMPINAN DALAM PELAYANAN MUSIK</w:t>
      </w:r>
    </w:p>
    <w:p w:rsidR="00D53774" w:rsidRPr="00DE6205" w:rsidRDefault="00D53774" w:rsidP="00D53774">
      <w:pPr>
        <w:pStyle w:val="Heading2"/>
        <w:rPr>
          <w:sz w:val="24"/>
        </w:rPr>
      </w:pPr>
      <w:r w:rsidRPr="00DE6205">
        <w:rPr>
          <w:sz w:val="24"/>
        </w:rPr>
        <w:t>1.1 Pengertian etika</w:t>
      </w:r>
    </w:p>
    <w:p w:rsidR="00D53774" w:rsidRDefault="00D53774" w:rsidP="00D53774">
      <w:pPr>
        <w:jc w:val="both"/>
      </w:pPr>
      <w:r>
        <w:t>Etika adalah pemikiran tentang nilai, prinsip, dan tindakan yang menentukan bagaimana seseorang seharusnya hidup dan memperlakukan orang lain. Dalam kehidupan sehari-hari, etika terlihat melalui kejujuran, tanggung jawab, kesediaan menepati janji, menghormati orang lain, dan keberanian mengakui kesalahan. Etika tidak berhenti pada pengetahuan tentang mana yang baik dan buruk. Etika perlu terlihat dalam keputusan nyata, terutama ketika seseorang menghadapi tekanan, perbedaan pendapat, atau kepentingan pribadi.</w:t>
      </w:r>
    </w:p>
    <w:p w:rsidR="00D53774" w:rsidRDefault="00D53774" w:rsidP="00D53774">
      <w:pPr>
        <w:jc w:val="both"/>
      </w:pPr>
      <w:r>
        <w:t>Dalam kehidupan Kristen, etika berhubungan dengan iman kepada Allah dan panggilan untuk hidup sesuai dengan kehendak-Nya. Kasih kepada Allah tidak dapat dipisahkan dari kasih kepada sesama. Yesus mengajarkan agar manusia mengasihi Allah dan mengasihi sesama seperti dirinya sendiri (Matius 22:37–40). Karena itu, pemimpin musik perlu bertanya bukan hanya apakah keputusan tertentu menguntungkan tim, melainkan apakah keputusan tersebut menghormati martabat orang lain, membangun jemaat, dan mencerminkan kasih Kristus.</w:t>
      </w:r>
    </w:p>
    <w:p w:rsidR="00D53774" w:rsidRDefault="00D53774" w:rsidP="00D53774">
      <w:pPr>
        <w:jc w:val="both"/>
      </w:pPr>
      <w:r>
        <w:t>Etika Kristen bukan berarti semua persoalan langsung memiliki jawaban yang mudah. Misalnya, pemimpin harus memilih antara penyanyi yang sangat terampil tetapi sering bersikap kasar dan penyanyi yang masih perlu belajar tetapi dapat bekerja sama dengan baik. Keputusan ini membutuhkan pertimbangan tentang kualitas pelayanan, pembinaan, kebutuhan jemaat, dan dampak perilaku terhadap tim. Prinsip etis membantu pemimpin menilai persoalan secara menyeluruh, bukan bertindak hanya berdasarkan rasa suka atau tidak suka.</w:t>
      </w:r>
    </w:p>
    <w:p w:rsidR="00D53774" w:rsidRPr="00DE6205" w:rsidRDefault="00D53774" w:rsidP="00D53774">
      <w:pPr>
        <w:pStyle w:val="Heading2"/>
        <w:rPr>
          <w:sz w:val="24"/>
        </w:rPr>
      </w:pPr>
      <w:r w:rsidRPr="00DE6205">
        <w:rPr>
          <w:sz w:val="24"/>
        </w:rPr>
        <w:t>1.2 Pengertian kepemimpinan</w:t>
      </w:r>
    </w:p>
    <w:p w:rsidR="00D53774" w:rsidRDefault="00D53774" w:rsidP="00D53774">
      <w:pPr>
        <w:jc w:val="both"/>
      </w:pPr>
      <w:r>
        <w:t xml:space="preserve">Kepemimpinan adalah proses memengaruhi, mengarahkan, dan mendampingi orang lain untuk mencapai tujuan bersama. Kepemimpinan tidak sama dengan sekadar </w:t>
      </w:r>
      <w:r>
        <w:lastRenderedPageBreak/>
        <w:t>memiliki jabatan. Seseorang dapat memegang posisi sebagai ketua tim musik, dirigen, pemimpin pujian, atau koordinator multimedia, tetapi jabatan itu tidak otomatis membuatnya menjadi pemimpin yang baik. Kepemimpinan terlihat dari cara ia memberi arah, mengambil keputusan, menyelesaikan masalah, dan menolong anggota bertumbuh.</w:t>
      </w:r>
    </w:p>
    <w:p w:rsidR="00D53774" w:rsidRDefault="00D53774" w:rsidP="00D53774">
      <w:pPr>
        <w:jc w:val="both"/>
      </w:pPr>
      <w:r>
        <w:t>Kepemimpinan Kristen memiliki teladan utama dalam diri Yesus Kristus. Dalam Markus 10:42–45, Yesus membedakan cara kepemimpinan yang mengejar kekuasaan dari kepemimpinan yang melayani. Ia mengajarkan bahwa siapa yang ingin menjadi besar harus menjadi pelayan. Prinsip ini tidak menghapus tanggung jawab pemimpin untuk mengarahkan tim. Sebaliknya, prinsip ini menegaskan bahwa kewenangan harus digunakan untuk membangun orang lain, bukan untuk mengangkat diri sendiri.</w:t>
      </w:r>
    </w:p>
    <w:p w:rsidR="00D53774" w:rsidRDefault="00D53774" w:rsidP="00D53774">
      <w:pPr>
        <w:jc w:val="both"/>
      </w:pPr>
      <w:r>
        <w:t>Pemimpin musik yang melayani tidak harus selalu menyetujui semua usulan. Ia tetap perlu menetapkan standar, membagi tugas, menegur keterlambatan, dan menentukan lagu yang sesuai. Namun, cara melakukannya harus adil dan penuh hormat. Ketegasan berbeda dari kekasaran. Disiplin berbeda dari mempermalukan. Pemimpin yang sehat menjelaskan alasan keputusan, mendengar masukan, dan bersedia mengevaluasi dirinya sendiri.</w:t>
      </w:r>
    </w:p>
    <w:p w:rsidR="00D53774" w:rsidRPr="00DE6205" w:rsidRDefault="00D53774" w:rsidP="00D53774">
      <w:pPr>
        <w:pStyle w:val="Heading2"/>
        <w:rPr>
          <w:sz w:val="24"/>
        </w:rPr>
      </w:pPr>
      <w:r w:rsidRPr="00DE6205">
        <w:rPr>
          <w:sz w:val="24"/>
        </w:rPr>
        <w:t>1.3 Pengertian pelayanan musik gereja</w:t>
      </w:r>
    </w:p>
    <w:p w:rsidR="00D53774" w:rsidRDefault="00D53774" w:rsidP="00D53774">
      <w:pPr>
        <w:jc w:val="both"/>
      </w:pPr>
      <w:r>
        <w:t>Pelayanan musik gereja adalah penggunaan kemampuan vokal, alat musik, komposisi, pengaturan lagu, dan unsur musikal lainnya untuk mendukung ibadah serta kehidupan iman jemaat. Pelayanan ini dapat dilakukan oleh pemimpin pujian, pemain musik, penyanyi latar, paduan suara, dirigen, pengaransemen, operator suara, dan anggota multimedia. Meskipun tugas mereka berbeda, semua berkontribusi terhadap pengalaman ibadah bersama.</w:t>
      </w:r>
    </w:p>
    <w:p w:rsidR="00D53774" w:rsidRDefault="00D53774" w:rsidP="00D53774">
      <w:pPr>
        <w:jc w:val="both"/>
      </w:pPr>
      <w:r>
        <w:t>Pelayanan musik bukan panggung pribadi. Dalam ibadah, kemampuan seseorang digunakan untuk melayani Allah dan menolong jemaat berpartisipasi. Karena itu, kualitas musik penting, tetapi kualitas tersebut perlu ditempatkan dalam tujuan yang tepat. Persiapan yang matang dapat mengurangi gangguan teknis dan menolong jemaat bernyanyi dengan nyaman. Akan tetapi, persiapan itu kehilangan maknanya jika dipakai untuk membangun popularitas pribadi atau merendahkan orang yang kemampuannya belum setara.</w:t>
      </w:r>
    </w:p>
    <w:p w:rsidR="00D53774" w:rsidRPr="00DE6205" w:rsidRDefault="00D53774" w:rsidP="00D53774">
      <w:pPr>
        <w:pStyle w:val="Heading2"/>
        <w:rPr>
          <w:sz w:val="24"/>
        </w:rPr>
      </w:pPr>
      <w:r w:rsidRPr="00DE6205">
        <w:rPr>
          <w:sz w:val="24"/>
        </w:rPr>
        <w:t>1.4 Hubungan etika, kepemimpinan, dan musik</w:t>
      </w:r>
    </w:p>
    <w:p w:rsidR="00D53774" w:rsidRDefault="00D53774" w:rsidP="00D53774">
      <w:pPr>
        <w:jc w:val="both"/>
      </w:pPr>
      <w:r>
        <w:lastRenderedPageBreak/>
        <w:t>Ketiga unsur tersebut saling berhubungan. Etika memberi prinsip tentang tindakan yang benar; kepemimpinan menerapkan prinsip itu dalam mengarahkan orang; dan pelayanan musik menjadi ruang konkret tempat prinsip tersebut diuji. Pemimpin musik membuat keputusan tentang pemilihan lagu, jadwal latihan, pembagian kesempatan tampil, penggunaan dana, komunikasi, dan penyelesaian konflik. Setiap keputusan memiliki dimensi teknis sekaligus etis.</w:t>
      </w:r>
    </w:p>
    <w:p w:rsidR="00D53774" w:rsidRPr="00DE6205" w:rsidRDefault="00D53774" w:rsidP="00D53774">
      <w:pPr>
        <w:pStyle w:val="Heading1"/>
        <w:rPr>
          <w:sz w:val="24"/>
          <w:szCs w:val="24"/>
        </w:rPr>
      </w:pPr>
      <w:r w:rsidRPr="00DE6205">
        <w:rPr>
          <w:sz w:val="24"/>
          <w:szCs w:val="24"/>
        </w:rPr>
        <w:t>2. DASAR ALKITAB BAGI ETIKA KEPEMIMPINAN MUSIK</w:t>
      </w:r>
    </w:p>
    <w:p w:rsidR="00D53774" w:rsidRPr="00DE6205" w:rsidRDefault="00D53774" w:rsidP="00D53774">
      <w:pPr>
        <w:pStyle w:val="Heading2"/>
        <w:rPr>
          <w:sz w:val="24"/>
          <w:szCs w:val="24"/>
        </w:rPr>
      </w:pPr>
      <w:r w:rsidRPr="00DE6205">
        <w:rPr>
          <w:sz w:val="24"/>
          <w:szCs w:val="24"/>
        </w:rPr>
        <w:t>2.1 Melayani untuk kemuliaan Allah</w:t>
      </w:r>
    </w:p>
    <w:p w:rsidR="00D53774" w:rsidRDefault="00D53774" w:rsidP="00D53774">
      <w:pPr>
        <w:jc w:val="both"/>
      </w:pPr>
      <w:r>
        <w:t>Kolose 3:23 mengajarkan agar segala sesuatu dilakukan dengan segenap hati seperti untuk Tuhan dan bukan untuk manusia. Prinsip ini relevan bagi pemimpin musik karena pelayanan dapat dengan mudah berubah menjadi pencarian pengakuan. Seseorang mungkin merasa puas ketika namanya diumumkan, penampilannya direkam, atau jemaat memujinya setelah ibadah. Apresiasi tidak selalu salah, tetapi menjadi masalah ketika pujian manusia menjadi tujuan utama.</w:t>
      </w:r>
    </w:p>
    <w:p w:rsidR="00D53774" w:rsidRDefault="00D53774" w:rsidP="00D53774">
      <w:pPr>
        <w:jc w:val="both"/>
      </w:pPr>
      <w:r>
        <w:t>Melakukan pelayanan untuk Tuhan berarti mempersiapkan diri dengan sungguh-sungguh, menghormati jadwal, menjaga alat musik, dan bersikap jujur ketika melakukan kesalahan. Kesungguhan bukan berarti harus sempurna. Setiap pelayan dapat mengalami kekeliruan, kehilangan suara, atau menghadapi kendala teknis. Yang penting adalah kerendahan hati untuk belajar dan kesediaan memperbaiki diri. Kesadaran bahwa pelayanan ditujukan kepada Tuhan seharusnya mendorong integritas, bukan membuat seseorang merasa tidak boleh dikritik.</w:t>
      </w:r>
    </w:p>
    <w:p w:rsidR="00D53774" w:rsidRPr="00DE6205" w:rsidRDefault="00D53774" w:rsidP="00D53774">
      <w:pPr>
        <w:pStyle w:val="Heading2"/>
        <w:rPr>
          <w:sz w:val="28"/>
        </w:rPr>
      </w:pPr>
      <w:r w:rsidRPr="00DE6205">
        <w:rPr>
          <w:sz w:val="28"/>
        </w:rPr>
        <w:t>2.2 Musik membangun iman dan mengajar jemaat</w:t>
      </w:r>
    </w:p>
    <w:p w:rsidR="00D53774" w:rsidRDefault="00D53774" w:rsidP="00D53774">
      <w:pPr>
        <w:jc w:val="both"/>
      </w:pPr>
      <w:r>
        <w:t>Kolose 3:16 menyatakan bahwa firman Kristus hendaknya tinggal dengan kaya di antara orang percaya, disertai pengajaran dan nasihat melalui mazmur, puji-pujian, dan nyanyian rohani. Ayat ini menunjukkan bahwa lirik lagu memiliki bobot teologis. Lagu yang dinyanyikan berulang kali dapat membentuk cara jemaat memahami Allah, manusia, dosa, keselamatan, penderitaan, dan pengharapan. Oleh karena itu, pemimpin musik perlu memeriksa isi lagu, bukan hanya melodi dan popularitasnya.</w:t>
      </w:r>
    </w:p>
    <w:p w:rsidR="00D53774" w:rsidRPr="00DE6205" w:rsidRDefault="00D53774" w:rsidP="00D53774">
      <w:pPr>
        <w:pStyle w:val="Heading2"/>
        <w:rPr>
          <w:sz w:val="24"/>
        </w:rPr>
      </w:pPr>
      <w:r w:rsidRPr="00DE6205">
        <w:rPr>
          <w:sz w:val="24"/>
        </w:rPr>
        <w:t>2.3 Pemimpin sebagai teladan</w:t>
      </w:r>
    </w:p>
    <w:p w:rsidR="00D53774" w:rsidRDefault="00D53774" w:rsidP="00D53774">
      <w:pPr>
        <w:jc w:val="both"/>
      </w:pPr>
      <w:r>
        <w:t xml:space="preserve">Dalam 1 Timotius 4:12, Paulus mengingatkan Timotius agar menjadi teladan dalam perkataan, tingkah laku, kasih, kesetiaan, dan kesucian. Prinsip ini dapat diterapkan </w:t>
      </w:r>
      <w:r>
        <w:lastRenderedPageBreak/>
        <w:t>pada pemimpin musik. Cara berbicara saat latihan, sikap terhadap anggota baru, penggunaan media sosial, dan tanggung jawab menyelesaikan tugas menjadi bagian dari kesaksian. Tidak cukup bagi pemimpin menyampaikan lagu tentang kasih jika ia sendiri memperlakukan anggota dengan hinaan.</w:t>
      </w:r>
    </w:p>
    <w:p w:rsidR="00D53774" w:rsidRDefault="00D53774" w:rsidP="00D53774">
      <w:pPr>
        <w:jc w:val="both"/>
      </w:pPr>
      <w:r>
        <w:t>Teladan tidak berarti pemimpin tidak pernah gagal. Teladan juga tampak dalam cara ia merespons kegagalan. Ketika terlambat, ia meminta maaf; ketika salah memilih lagu, ia mengakui dan belajar; ketika menegur anggota secara tidak tepat, ia memperbaiki hubungan. Sikap seperti ini menunjukkan bahwa kepemimpinan Kristen bukan pencitraan kesempurnaan, melainkan proses hidup dalam kebenaran dan pertumbuhan.</w:t>
      </w:r>
    </w:p>
    <w:p w:rsidR="00D53774" w:rsidRPr="00DE6205" w:rsidRDefault="00D53774" w:rsidP="00D53774">
      <w:pPr>
        <w:pStyle w:val="Heading2"/>
        <w:rPr>
          <w:sz w:val="24"/>
        </w:rPr>
      </w:pPr>
      <w:r w:rsidRPr="00DE6205">
        <w:rPr>
          <w:sz w:val="24"/>
        </w:rPr>
        <w:t>2.4 Kepemimpinan yang melayani</w:t>
      </w:r>
    </w:p>
    <w:p w:rsidR="00D53774" w:rsidRDefault="00D53774" w:rsidP="00D53774">
      <w:pPr>
        <w:jc w:val="both"/>
      </w:pPr>
      <w:r>
        <w:t>Markus 10:42–45 menempatkan pelayanan sebagai ukuran kebesaran dalam komunitas murid Yesus. Bagi tim musik, ini berarti pemimpin tidak memanfaatkan jabatan untuk selalu mendapat bagian solo, menentukan semua keputusan tanpa diskusi, atau meminta anggota memenuhi keinginannya tanpa mempertimbangkan kemampuan mereka. Ia berusaha mengembangkan karunia orang lain dan membantu tim mencapai tujuan bersama.</w:t>
      </w:r>
    </w:p>
    <w:p w:rsidR="00D53774" w:rsidRDefault="00D53774" w:rsidP="00D53774">
      <w:pPr>
        <w:jc w:val="both"/>
      </w:pPr>
      <w:r>
        <w:t>Kepemimpinan yang melayani tidak sama dengan membiarkan semua hal berjalan tanpa aturan. Seorang pemimpin tetap perlu membuat keputusan akhir ketika dibutuhkan. Namun, kewenangan itu harus digunakan secara bertanggung jawab, dapat dijelaskan, dan tidak didorong oleh dendam atau kepentingan pribadi. Pemimpin yang melayani mampu mengatakan 'tidak' dengan hormat, serta mampu menerima koreksi tanpa menganggapnya sebagai serangan.</w:t>
      </w:r>
    </w:p>
    <w:p w:rsidR="00D53774" w:rsidRPr="00DE6205" w:rsidRDefault="00D53774" w:rsidP="00D53774">
      <w:pPr>
        <w:pStyle w:val="Heading2"/>
        <w:rPr>
          <w:sz w:val="24"/>
        </w:rPr>
      </w:pPr>
      <w:r w:rsidRPr="00DE6205">
        <w:rPr>
          <w:sz w:val="24"/>
        </w:rPr>
        <w:t>2.5 Ketertiban dan kerja sama</w:t>
      </w:r>
    </w:p>
    <w:p w:rsidR="00D53774" w:rsidRDefault="00D53774" w:rsidP="00D53774">
      <w:pPr>
        <w:jc w:val="both"/>
      </w:pPr>
      <w:r>
        <w:t>Dalam 1 Korintus 14:40, Paulus menasihatkan agar segala sesuatu berlangsung dengan sopan dan teratur. Konteks langsungnya membahas ketertiban pertemuan jemaat, tetapi prinsip umum tentang keteraturan dapat menolong pelayanan musik. Latihan yang jelas, pembagian tugas, pengaturan volume, dan komunikasi tentang perubahan lagu merupakan bentuk tanggung jawab. Ketertiban bukan tujuan akhir, melainkan sarana agar ibadah berlangsung dengan baik dan jemaat dapat berpartisipasi.</w:t>
      </w:r>
    </w:p>
    <w:p w:rsidR="00D53774" w:rsidRDefault="00D53774" w:rsidP="00D53774">
      <w:pPr>
        <w:jc w:val="both"/>
      </w:pPr>
      <w:r>
        <w:lastRenderedPageBreak/>
        <w:t>Keteraturan perlu disertai kasih. Jadwal latihan yang baik tidak boleh menjadi alasan untuk mengabaikan keadaan anggota yang mengalami kesulitan. Sebaliknya, kepedulian tidak berarti membiarkan seseorang berulang kali mengabaikan komitmen tanpa komunikasi. Tim dapat menyepakati aturan bersama, seperti batas waktu konfirmasi, materi latihan yang dibagikan sebelumnya, dan prosedur jika anggota berhalangan.</w:t>
      </w:r>
    </w:p>
    <w:p w:rsidR="00D53774" w:rsidRPr="00DE6205" w:rsidRDefault="00D53774" w:rsidP="00D53774">
      <w:pPr>
        <w:pStyle w:val="Heading2"/>
        <w:rPr>
          <w:sz w:val="24"/>
        </w:rPr>
      </w:pPr>
      <w:r w:rsidRPr="00DE6205">
        <w:rPr>
          <w:sz w:val="24"/>
        </w:rPr>
        <w:t>2.6 Karunia yang berbeda, satu tubuh</w:t>
      </w:r>
    </w:p>
    <w:p w:rsidR="00D53774" w:rsidRDefault="00D53774" w:rsidP="00D53774">
      <w:pPr>
        <w:jc w:val="both"/>
      </w:pPr>
      <w:r>
        <w:t>Roma 12:4–8 dan 1 Korintus 12:12–27 menggambarkan jemaat sebagai tubuh dengan banyak anggota dan karunia yang berbeda. Tidak semua orang memiliki kemampuan yang sama. Ada yang kuat dalam vokal, ada yang terampil memainkan alat musik, ada yang teliti mengatur suara, dan ada yang mampu mendampingi anggota baru. Perbedaan ini seharusnya menjadi kesempatan untuk saling melengkapi, bukan alasan untuk menciptakan kasta rohani.</w:t>
      </w:r>
    </w:p>
    <w:p w:rsidR="00D53774" w:rsidRDefault="00D53774" w:rsidP="00D53774">
      <w:pPr>
        <w:jc w:val="both"/>
      </w:pPr>
      <w:r>
        <w:t>Pemimpin musik perlu membedakan penghargaan terhadap keterampilan dari penilaian terhadap nilai seseorang. Kemampuan memang penting untuk tugas tertentu, tetapi kemampuan musik tidak membuat seseorang lebih berharga di hadapan Allah. Anggota yang belum mahir dapat diberi kesempatan belajar melalui latihan, tugas sederhana, atau pendampingan. Pada saat yang sama, pemimpin tetap harus mempertimbangkan kesiapan agar pelayanan tidak menjadi tempat bereksperimen tanpa persiapan yang cukup.</w:t>
      </w:r>
    </w:p>
    <w:p w:rsidR="00D53774" w:rsidRPr="00DE6205" w:rsidRDefault="00D53774" w:rsidP="00D53774">
      <w:pPr>
        <w:pStyle w:val="Heading2"/>
        <w:rPr>
          <w:sz w:val="24"/>
        </w:rPr>
      </w:pPr>
      <w:r w:rsidRPr="00DE6205">
        <w:rPr>
          <w:sz w:val="24"/>
        </w:rPr>
        <w:t>2.7 Integritas dan pengelolaan tanggung jawab</w:t>
      </w:r>
    </w:p>
    <w:p w:rsidR="00D53774" w:rsidRDefault="00D53774" w:rsidP="00D53774">
      <w:pPr>
        <w:jc w:val="both"/>
      </w:pPr>
      <w:r>
        <w:t>Lukas 16:10 mengajarkan bahwa orang yang setia dalam perkara kecil juga setia dalam perkara besar. Prinsip ini dapat diterapkan pada penggunaan dana musik, peminjaman alat, pengelolaan jadwal, dan pembagian honorarium jika ada. Pemimpin perlu transparan tentang anggaran, menyimpan bukti pengeluaran, dan tidak menggunakan fasilitas gereja untuk kepentingan pribadi tanpa izin.</w:t>
      </w:r>
    </w:p>
    <w:p w:rsidR="00D53774" w:rsidRDefault="00D53774" w:rsidP="00D53774">
      <w:pPr>
        <w:jc w:val="both"/>
      </w:pPr>
      <w:r>
        <w:t>Integritas juga mencakup penghormatan terhadap karya orang lain. Jika tim menggunakan aransemen, rekaman, atau materi berhak cipta, mereka perlu memahami aturan yang berlaku dan mengikuti kebijakan gereja. Mengambil karya orang lain lalu mengakuinya sebagai karya sendiri merupakan tindakan tidak jujur. Penggunaan materi digital untuk ibadah juga perlu memperhatikan izin dan ketentuan lisensi yang relevan.</w:t>
      </w:r>
    </w:p>
    <w:p w:rsidR="00D53774" w:rsidRPr="00DE6205" w:rsidRDefault="00D53774" w:rsidP="00D53774">
      <w:pPr>
        <w:pStyle w:val="Heading1"/>
        <w:rPr>
          <w:sz w:val="24"/>
          <w:szCs w:val="24"/>
        </w:rPr>
      </w:pPr>
      <w:r w:rsidRPr="00DE6205">
        <w:rPr>
          <w:sz w:val="24"/>
          <w:szCs w:val="24"/>
        </w:rPr>
        <w:lastRenderedPageBreak/>
        <w:t>3. KARAKTER YANG DIBUTUHKAN PEMIMPIN MUSIK GEREJA</w:t>
      </w:r>
    </w:p>
    <w:p w:rsidR="00D53774" w:rsidRPr="00DE6205" w:rsidRDefault="00D53774" w:rsidP="00D53774">
      <w:pPr>
        <w:pStyle w:val="Heading2"/>
        <w:rPr>
          <w:sz w:val="24"/>
          <w:szCs w:val="24"/>
        </w:rPr>
      </w:pPr>
      <w:r w:rsidRPr="00DE6205">
        <w:rPr>
          <w:sz w:val="24"/>
          <w:szCs w:val="24"/>
        </w:rPr>
        <w:t>3.1 Kerendahan hati</w:t>
      </w:r>
    </w:p>
    <w:p w:rsidR="00D53774" w:rsidRDefault="00D53774" w:rsidP="00D53774">
      <w:pPr>
        <w:jc w:val="both"/>
      </w:pPr>
      <w:r>
        <w:t>Kerendahan hati berarti menyadari bahwa kemampuan merupakan karunia yang perlu dikembangkan dan dipakai untuk melayani, bukan alat untuk meninggikan diri. Pemimpin yang rendah hati tidak merasa bahwa semua keputusan musiknya pasti benar. Ia mau mendengar pendapat pemain musik, penyanyi, pendeta, dan anggota jemaat. Ia juga mampu menerima kenyataan bahwa ide orang lain mungkin lebih sesuai dengan kebutuhan ibadah.</w:t>
      </w:r>
    </w:p>
    <w:p w:rsidR="00D53774" w:rsidRDefault="00D53774" w:rsidP="00D53774">
      <w:pPr>
        <w:jc w:val="both"/>
      </w:pPr>
      <w:r>
        <w:t>Contoh sederhana dapat dilihat ketika seorang pemain musik menyampaikan bahwa nada lagu terlalu tinggi bagi sebagian besar jemaat. Pemimpin yang rendah hati akan mempertimbangkan transposisi nada atau pilihan lagu lain. Pemimpin yang arogan mungkin menjawab bahwa jemaat harus mengikuti aransemen pilihannya. Sikap kedua dapat membuat musik terdengar megah, tetapi mengurangi partisipasi jemaat dan menutup ruang dialog.</w:t>
      </w:r>
    </w:p>
    <w:p w:rsidR="00D53774" w:rsidRPr="00DE6205" w:rsidRDefault="00D53774" w:rsidP="00D53774">
      <w:pPr>
        <w:pStyle w:val="Heading2"/>
        <w:rPr>
          <w:sz w:val="24"/>
        </w:rPr>
      </w:pPr>
      <w:r w:rsidRPr="00DE6205">
        <w:rPr>
          <w:sz w:val="24"/>
        </w:rPr>
        <w:t>3.2 Kejujuran dan konsistensi</w:t>
      </w:r>
    </w:p>
    <w:p w:rsidR="00D53774" w:rsidRDefault="00D53774" w:rsidP="00D53774">
      <w:pPr>
        <w:jc w:val="both"/>
      </w:pPr>
      <w:r>
        <w:t>Kejujuran terlihat dari kesesuaian antara perkataan dan tindakan. Jika pemimpin meminta anggota datang tepat waktu, ia juga perlu berusaha hadir tepat waktu. Jika ada perubahan jadwal, ia perlu menyampaikan informasi dengan jelas. Jika terjadi kesalahan teknis, ia tidak seharusnya langsung menyalahkan operator atau anggota lain sebelum memahami penyebabnya.</w:t>
      </w:r>
    </w:p>
    <w:p w:rsidR="00D53774" w:rsidRDefault="00D53774" w:rsidP="00D53774">
      <w:pPr>
        <w:jc w:val="both"/>
      </w:pPr>
      <w:r>
        <w:t>Konsistensi juga penting dalam penerapan aturan. Tidak adil jika anggota yang dekat dengan pemimpin selalu dimaafkan ketika terlambat, sementara anggota lain langsung ditegur keras untuk pelanggaran yang sama. Aturan yang diterapkan secara berbeda berdasarkan kedekatan pribadi akan merusak kepercayaan. Bila pengecualian memang dibutuhkan, alasan dan prosesnya harus dapat dipahami.</w:t>
      </w:r>
    </w:p>
    <w:p w:rsidR="00D53774" w:rsidRPr="00DE6205" w:rsidRDefault="00D53774" w:rsidP="00D53774">
      <w:pPr>
        <w:pStyle w:val="Heading2"/>
        <w:rPr>
          <w:sz w:val="24"/>
        </w:rPr>
      </w:pPr>
      <w:r w:rsidRPr="00DE6205">
        <w:rPr>
          <w:sz w:val="24"/>
        </w:rPr>
        <w:t>3.3 Disiplin dan tanggung jawab</w:t>
      </w:r>
    </w:p>
    <w:p w:rsidR="00D53774" w:rsidRDefault="00D53774" w:rsidP="00D53774">
      <w:pPr>
        <w:jc w:val="both"/>
      </w:pPr>
      <w:r>
        <w:t>Disiplin dalam pelayanan musik meliputi latihan pribadi, mempelajari lagu sebelum latihan bersama, menjaga kesehatan suara, memelihara alat, dan menghormati waktu orang lain. Pemimpin perlu menjelaskan standar yang masuk akal dan membantu anggota mencapainya. Standar sebaiknya disepakati secara terbuka sehingga anggota mengetahui apa yang diharapkan.</w:t>
      </w:r>
    </w:p>
    <w:p w:rsidR="00D53774" w:rsidRDefault="00D53774" w:rsidP="00D53774">
      <w:pPr>
        <w:jc w:val="both"/>
      </w:pPr>
      <w:r>
        <w:lastRenderedPageBreak/>
        <w:t>Tanggung jawab tidak boleh dibebankan hanya kepada satu atau dua orang. Jika pemimpin terus mengandalkan anggota tertentu untuk menyelesaikan semua pekerjaan, anggota tersebut dapat mengalami kelelahan, sementara anggota lain tidak berkembang. Pembagian tugas yang sehat memberi ruang bagi regenerasi dan mencegah pelayanan bergantung pada satu figur saja.</w:t>
      </w:r>
    </w:p>
    <w:p w:rsidR="00D53774" w:rsidRPr="00DE6205" w:rsidRDefault="00D53774" w:rsidP="00D53774">
      <w:pPr>
        <w:pStyle w:val="Heading2"/>
        <w:rPr>
          <w:sz w:val="24"/>
        </w:rPr>
      </w:pPr>
      <w:r w:rsidRPr="00DE6205">
        <w:rPr>
          <w:sz w:val="24"/>
        </w:rPr>
        <w:t>3.4 Empati dan kemampuan mendengarkan</w:t>
      </w:r>
    </w:p>
    <w:p w:rsidR="00D53774" w:rsidRDefault="00D53774" w:rsidP="00D53774">
      <w:pPr>
        <w:jc w:val="both"/>
      </w:pPr>
      <w:r>
        <w:t>Empati adalah kemampuan berusaha memahami keadaan orang lain tanpa terburu-buru menghakimi. Dalam tim musik, anggota dapat menghadapi masalah keluarga, kesehatan, pendidikan, pekerjaan, atau tekanan emosional. Pemimpin tidak harus mengetahui semua urusan pribadi mereka, tetapi perlu menciptakan ruang komunikasi yang aman dan menghormati batas privasi.</w:t>
      </w:r>
    </w:p>
    <w:p w:rsidR="00D53774" w:rsidRDefault="00D53774" w:rsidP="00D53774">
      <w:pPr>
        <w:jc w:val="both"/>
      </w:pPr>
      <w:r>
        <w:t>Mendengarkan bukan berarti selalu menyetujui. Pemimpin dapat memahami alasan anggota tidak mampu mengikuti latihan sekaligus menjelaskan dampak ketidakhadiran terhadap tim. Percakapan yang menghormati martabat biasanya lebih membantu daripada teguran di depan umum. Jika persoalan sensitif muncul, pembicaraan pribadi lebih tepat daripada mempermalukan anggota melalui grup pesan.</w:t>
      </w:r>
    </w:p>
    <w:p w:rsidR="00D53774" w:rsidRPr="00DE6205" w:rsidRDefault="00D53774" w:rsidP="00D53774">
      <w:pPr>
        <w:pStyle w:val="Heading2"/>
        <w:rPr>
          <w:sz w:val="24"/>
        </w:rPr>
      </w:pPr>
      <w:r w:rsidRPr="00DE6205">
        <w:rPr>
          <w:sz w:val="24"/>
        </w:rPr>
        <w:t>3.5 Keadilan dan keterbukaan</w:t>
      </w:r>
    </w:p>
    <w:p w:rsidR="00D53774" w:rsidRDefault="00D53774" w:rsidP="00D53774">
      <w:pPr>
        <w:jc w:val="both"/>
      </w:pPr>
      <w:r>
        <w:t>Keadilan berarti mempertimbangkan kebutuhan, kemampuan, tanggung jawab, dan kesempatan setiap anggota dengan cara yang tidak sewenang-wenang. Keadilan bukan berarti semua orang harus memperoleh tugas yang persis sama setiap minggu. Tugas dapat berbeda berdasarkan kesiapan dan kebutuhan ibadah, tetapi proses penentuannya perlu jelas. Kesempatan berkembang juga harus tersedia, bukan hanya diberikan kepada anggota yang paling dekat dengan pemimpin.</w:t>
      </w:r>
    </w:p>
    <w:p w:rsidR="00D53774" w:rsidRDefault="00D53774" w:rsidP="00D53774">
      <w:pPr>
        <w:jc w:val="both"/>
      </w:pPr>
      <w:r>
        <w:t>Keterbukaan membuat anggota memahami alasan pemilihan lagu, pembagian peran, dan perubahan jadwal. Pemimpin dapat menyampaikan bahwa suatu lagu dipilih karena liriknya sesuai dengan tema khotbah, jangkauan nadanya ramah bagi jemaat, atau aransemen mendukung suasana ibadah. Penjelasan sederhana mencegah anggota menganggap keputusan sebagai hasil pilih kasih.</w:t>
      </w:r>
    </w:p>
    <w:p w:rsidR="00D53774" w:rsidRPr="00DE6205" w:rsidRDefault="00D53774" w:rsidP="00D53774">
      <w:pPr>
        <w:pStyle w:val="Heading2"/>
        <w:rPr>
          <w:sz w:val="24"/>
        </w:rPr>
      </w:pPr>
      <w:r w:rsidRPr="00DE6205">
        <w:rPr>
          <w:sz w:val="24"/>
        </w:rPr>
        <w:t>3.6 Kerendahan hati untuk terus belajar</w:t>
      </w:r>
    </w:p>
    <w:p w:rsidR="00D53774" w:rsidRDefault="00D53774" w:rsidP="00D53774">
      <w:pPr>
        <w:jc w:val="both"/>
      </w:pPr>
      <w:r>
        <w:lastRenderedPageBreak/>
        <w:t>Pemimpin musik perlu terus mengembangkan kemampuan musikal dan pemahaman teologis. Perkembangan teknik audio, perangkat lunak, gaya musik, dan kebutuhan jemaat menuntut proses belajar. Namun, pembelajaran bukan hanya soal teknologi. Pemimpin juga perlu belajar tentang komunikasi, penyelesaian konflik, perlindungan terhadap anggota yang rentan, dan pengelolaan pelayanan.</w:t>
      </w:r>
    </w:p>
    <w:p w:rsidR="00D53774" w:rsidRDefault="00D53774" w:rsidP="00D53774">
      <w:pPr>
        <w:jc w:val="both"/>
      </w:pPr>
      <w:r>
        <w:t>Pelatihan dan evaluasi sebaiknya tidak dipandang sebagai hukuman. Evaluasi yang sehat menanyakan apa yang berjalan baik, apa yang perlu diperbaiki, dan dukungan apa yang diperlukan. Jika evaluasi hanya mencari orang yang harus disalahkan, anggota cenderung menutupi masalah. Jika evaluasi berfokus pada pembelajaran dan tanggung jawab, tim lebih mudah memperbaiki kualitas.</w:t>
      </w:r>
    </w:p>
    <w:p w:rsidR="00D53774" w:rsidRPr="00DE6205" w:rsidRDefault="00D53774" w:rsidP="00D53774">
      <w:pPr>
        <w:pStyle w:val="Heading1"/>
        <w:rPr>
          <w:sz w:val="24"/>
          <w:szCs w:val="24"/>
        </w:rPr>
      </w:pPr>
      <w:r w:rsidRPr="00DE6205">
        <w:rPr>
          <w:sz w:val="24"/>
          <w:szCs w:val="24"/>
        </w:rPr>
        <w:t>4. TANGGUNG JAWAB PEMIMPIN TERHADAP TIM DAN JEMAAT</w:t>
      </w:r>
    </w:p>
    <w:p w:rsidR="00D53774" w:rsidRPr="00DE6205" w:rsidRDefault="00D53774" w:rsidP="00D53774">
      <w:pPr>
        <w:pStyle w:val="Heading2"/>
        <w:rPr>
          <w:sz w:val="24"/>
          <w:szCs w:val="24"/>
        </w:rPr>
      </w:pPr>
      <w:r w:rsidRPr="00DE6205">
        <w:rPr>
          <w:sz w:val="24"/>
          <w:szCs w:val="24"/>
        </w:rPr>
        <w:t>4.1 Menjaga tujuan ibadah</w:t>
      </w:r>
    </w:p>
    <w:p w:rsidR="00D53774" w:rsidRDefault="00D53774" w:rsidP="00D53774">
      <w:pPr>
        <w:jc w:val="both"/>
      </w:pPr>
      <w:r>
        <w:t>Tanggung jawab pertama pemimpin musik adalah menjaga agar musik mendukung ibadah dan partisipasi jemaat. Pemimpin perlu bertanya apakah lagu dapat dinyanyikan oleh jemaat, apakah liriknya jelas, apakah nada sesuai, dan apakah susunan musik mendukung keseluruhan liturgi. Tidak semua lagu yang cocok untuk konser atau rekaman otomatis cocok untuk nyanyian bersama.</w:t>
      </w:r>
    </w:p>
    <w:p w:rsidR="00D53774" w:rsidRDefault="00D53774" w:rsidP="00D53774">
      <w:pPr>
        <w:jc w:val="both"/>
      </w:pPr>
      <w:r>
        <w:t>Salah satu kritik yang perlu diperhatikan ialah kecenderungan menjadikan ibadah sebagai pertunjukan. Lampu, layar, instrumen, dan kualitas vokal dapat membantu suasana, tetapi semuanya seharusnya melayani tujuan ibadah. Jika jemaat hanya menjadi penonton sementara tim tampil seolah-olah berada di panggung konser, pemimpin perlu mengevaluasi kembali pengaturan musik dan kesempatan bernyanyi bersama.</w:t>
      </w:r>
    </w:p>
    <w:p w:rsidR="00D53774" w:rsidRPr="00DE6205" w:rsidRDefault="00D53774" w:rsidP="00D53774">
      <w:pPr>
        <w:pStyle w:val="Heading2"/>
        <w:rPr>
          <w:sz w:val="24"/>
        </w:rPr>
      </w:pPr>
      <w:r w:rsidRPr="00DE6205">
        <w:rPr>
          <w:sz w:val="24"/>
        </w:rPr>
        <w:t>4.2 Memilih lagu secara bertanggung jawab</w:t>
      </w:r>
    </w:p>
    <w:p w:rsidR="00D53774" w:rsidRDefault="00D53774" w:rsidP="00D53774">
      <w:pPr>
        <w:jc w:val="both"/>
      </w:pPr>
      <w:r>
        <w:t>Pemilihan lagu perlu memperhatikan kesesuaian teologis, kualitas bahasa, konteks jemaat, kemudahan dinyanyikan, dan hubungan dengan tema ibadah. Lirik perlu diperiksa dengan teliti karena kalimat puitis tidak selalu menyampaikan ajaran yang jelas. Pemimpin dapat berkonsultasi dengan pendeta atau tim liturgi ketika ada lirik yang maknanya ambigu.</w:t>
      </w:r>
    </w:p>
    <w:p w:rsidR="00D53774" w:rsidRDefault="00D53774" w:rsidP="00D53774">
      <w:pPr>
        <w:jc w:val="both"/>
      </w:pPr>
      <w:r>
        <w:t xml:space="preserve">Kritik juga perlu diarahkan pada kebiasaan memilih lagu semata-mata karena sedang populer di media sosial. Lagu populer bisa saja bermanfaat, tetapi popularitas bukan </w:t>
      </w:r>
      <w:r>
        <w:lastRenderedPageBreak/>
        <w:t>satu-satunya ukuran. Pemimpin harus memahami pesan lagu dan mempertimbangkan apakah jemaat mampu mengikutinya. Lagu lama tidak otomatis lebih rohani, dan lagu baru tidak otomatis dangkal. Penilaian harus dilakukan berdasarkan isi, fungsi, dan konteks.</w:t>
      </w:r>
    </w:p>
    <w:p w:rsidR="00D53774" w:rsidRPr="00DE6205" w:rsidRDefault="00D53774" w:rsidP="00D53774">
      <w:pPr>
        <w:pStyle w:val="Heading2"/>
        <w:rPr>
          <w:sz w:val="24"/>
        </w:rPr>
      </w:pPr>
      <w:r w:rsidRPr="00DE6205">
        <w:rPr>
          <w:sz w:val="24"/>
        </w:rPr>
        <w:t>4.3 Membina anggota, bukan hanya menilai</w:t>
      </w:r>
    </w:p>
    <w:p w:rsidR="00D53774" w:rsidRDefault="00D53774" w:rsidP="00D53774">
      <w:pPr>
        <w:jc w:val="both"/>
      </w:pPr>
      <w:r>
        <w:t>Tim musik sering memerlukan standar kemampuan tertentu, tetapi pemimpin juga bertanggung jawab membina anggota. Pembinaan dapat dilakukan melalui latihan terarah, pembagian materi lebih awal, pendampingan vokal atau instrumen, serta kesempatan bertugas secara bertahap. Anggota yang belum siap untuk tugas utama dapat diberi peran lain sambil terus belajar.</w:t>
      </w:r>
    </w:p>
    <w:p w:rsidR="00D53774" w:rsidRDefault="00D53774" w:rsidP="00D53774">
      <w:pPr>
        <w:jc w:val="both"/>
      </w:pPr>
      <w:r>
        <w:t>Heather MacLachlan (2022) membahas ketegangan etis antara kompetensi teknis dan inklusi dalam kelompok musik gereja. Temuan ini mengingatkan bahwa pemimpin menghadapi dua tanggung jawab: menjaga kualitas musik bagi jemaat dan memperhatikan orang yang ingin terlibat. Jika hanya kompetensi yang ditekankan, tim dapat menjadi eksklusif. Jika inklusi diartikan sebagai tidak adanya standar, kualitas pelayanan dan pengalaman jemaat dapat terganggu. Jalan yang lebih sehat ialah standar yang jelas disertai proses pembinaan.</w:t>
      </w:r>
    </w:p>
    <w:p w:rsidR="00D53774" w:rsidRPr="00DE6205" w:rsidRDefault="00D53774" w:rsidP="00D53774">
      <w:pPr>
        <w:pStyle w:val="Heading2"/>
        <w:rPr>
          <w:sz w:val="24"/>
        </w:rPr>
      </w:pPr>
      <w:r w:rsidRPr="00DE6205">
        <w:rPr>
          <w:sz w:val="24"/>
        </w:rPr>
        <w:t>4.4 Menjaga komunikasi</w:t>
      </w:r>
    </w:p>
    <w:p w:rsidR="00D53774" w:rsidRDefault="00D53774" w:rsidP="00D53774">
      <w:pPr>
        <w:jc w:val="both"/>
      </w:pPr>
      <w:r>
        <w:t>Komunikasi yang baik harus jelas, tepat waktu, dan menghormati orang. Informasi mengenai jadwal latihan, daftar lagu, nada dasar, perubahan susunan, dan kebutuhan teknis sebaiknya disampaikan melalui saluran yang disepakati. Pemimpin tidak seharusnya menganggap anggota sudah mengetahui perubahan yang tidak pernah diberitahukan.</w:t>
      </w:r>
    </w:p>
    <w:p w:rsidR="00D53774" w:rsidRDefault="00D53774" w:rsidP="00D53774">
      <w:pPr>
        <w:jc w:val="both"/>
      </w:pPr>
      <w:r>
        <w:t>Kritik harus disampaikan dengan cara yang membangun. Kalimat seperti 'kamu memang selalu merusak lagu' menyerang pribadi dan tidak menjelaskan perbaikan yang dibutuhkan. Kalimat 'pada bagian reff, tempo menjadi terlalu cepat; mari kita latihan dengan metronom' lebih jelas dan dapat ditindaklanjuti. Kritik yang baik membahas perilaku atau hasil kerja, bukan merendahkan nilai seseorang.</w:t>
      </w:r>
    </w:p>
    <w:p w:rsidR="00D53774" w:rsidRPr="00DE6205" w:rsidRDefault="00D53774" w:rsidP="00D53774">
      <w:pPr>
        <w:pStyle w:val="Heading2"/>
        <w:rPr>
          <w:sz w:val="24"/>
        </w:rPr>
      </w:pPr>
      <w:r w:rsidRPr="00DE6205">
        <w:rPr>
          <w:sz w:val="24"/>
        </w:rPr>
        <w:t>4.5 Menjaga kesehatan dan batas kemampuan anggota</w:t>
      </w:r>
    </w:p>
    <w:p w:rsidR="00D53774" w:rsidRDefault="00D53774" w:rsidP="00D53774">
      <w:pPr>
        <w:jc w:val="both"/>
      </w:pPr>
      <w:r>
        <w:t xml:space="preserve">Pelayanan tidak boleh mengabaikan kondisi manusia. Jadwal yang terlalu padat, latihan hingga larut malam secara terus-menerus, dan tuntutan untuk selalu tersedia </w:t>
      </w:r>
      <w:r>
        <w:lastRenderedPageBreak/>
        <w:t>dapat membuat anggota kelelahan. Pemimpin perlu menyusun jadwal secara realistis, merencanakan pengganti, dan menghormati waktu istirahat. Kesediaan melayani tidak berarti seseorang harus selalu mengorbankan semua tanggung jawab lain.</w:t>
      </w:r>
    </w:p>
    <w:p w:rsidR="00D53774" w:rsidRDefault="00D53774" w:rsidP="00D53774">
      <w:pPr>
        <w:jc w:val="both"/>
      </w:pPr>
      <w:r>
        <w:t>Jika anggota perlu mengambil jeda karena pendidikan, pekerjaan, kesehatan, atau keluarga, pemimpin sebaiknya membicarakan kebutuhan tim dengan hormat. Tekanan rohani seperti mengatakan bahwa anggota yang beristirahat berarti kurang mengasihi Tuhan dapat menjadi bentuk manipulasi. Komitmen memang penting, tetapi komitmen yang sehat harus disertai komunikasi, pertimbangan, dan kepedulian.</w:t>
      </w:r>
    </w:p>
    <w:p w:rsidR="00D53774" w:rsidRPr="001F62D6" w:rsidRDefault="00D53774" w:rsidP="00D53774">
      <w:pPr>
        <w:pStyle w:val="Heading1"/>
        <w:rPr>
          <w:sz w:val="24"/>
        </w:rPr>
      </w:pPr>
      <w:r w:rsidRPr="001F62D6">
        <w:rPr>
          <w:sz w:val="24"/>
        </w:rPr>
        <w:t>5. TANTANGAN ETIS DALAM PELAYANAN MUSIK GEREJA</w:t>
      </w:r>
    </w:p>
    <w:p w:rsidR="00D53774" w:rsidRDefault="00D53774" w:rsidP="00D53774">
      <w:r>
        <w:t>Pelayanan musik gereja tidak terlepas dari berbagai tantangan etis yang dapat memengaruhi hubungan antaranggota dan kualitas pelayanan. Tantangan tersebut bukan hanya berkaitan dengan kemampuan bermusik, tetapi juga dengan sikap, karakter, tanggung jawab, dan cara seseorang memperlakukan orang lain. Oleh karena itu, setiap pelayan musik perlu memahami bahwa pelayanan bukan sekadar tampil di depan jemaat, melainkan juga menjadi sarana untuk memuliakan Tuhan.</w:t>
      </w:r>
    </w:p>
    <w:p w:rsidR="00D53774" w:rsidRDefault="00D53774" w:rsidP="00D53774">
      <w:pPr>
        <w:rPr>
          <w:b/>
          <w:bCs/>
        </w:rPr>
      </w:pPr>
      <w:r>
        <w:rPr>
          <w:b/>
          <w:bCs/>
        </w:rPr>
        <w:t>5.1 Mencari Popularitas dan Pengakuan Diri</w:t>
      </w:r>
    </w:p>
    <w:p w:rsidR="00D53774" w:rsidRDefault="00D53774" w:rsidP="00D53774">
      <w:r>
        <w:t>Salah satu tantangan dalam pelayanan musik gereja adalah keinginan untuk mendapatkan pujian dan pengakuan dari orang lain. Seorang penyanyi atau pemain musik dapat menjadi lebih fokus pada penampilan dirinya daripada makna ibadah. Jika hal ini dibiarkan, pelayanan musik dapat berubah menjadi sarana untuk menunjukkan kemampuan pribadi.</w:t>
      </w:r>
    </w:p>
    <w:p w:rsidR="00D53774" w:rsidRDefault="00D53774" w:rsidP="00D53774">
      <w:r>
        <w:t>Sebagai contoh, seorang penyanyi mungkin merasa kecewa ketika tidak mendapatkan kesempatan untuk tampil di depan jemaat. Sikap tersebut menunjukkan bahwa pelayanan berisiko lebih berorientasi pada kepentingan pribadi daripada kemuliaan Tuhan. Kolose 3:23 mengajarkan agar segala sesuatu dilakukan dengan segenap hati seperti untuk Tuhan. Dengan demikian, setiap pelayan perlu memiliki motivasi yang benar dan tidak menjadikan pujian manusia sebagai tujuan utama.</w:t>
      </w:r>
    </w:p>
    <w:p w:rsidR="00D53774" w:rsidRDefault="00D53774" w:rsidP="00D53774"/>
    <w:p w:rsidR="00D53774" w:rsidRDefault="00D53774" w:rsidP="00D53774">
      <w:pPr>
        <w:rPr>
          <w:b/>
          <w:bCs/>
        </w:rPr>
      </w:pPr>
      <w:r>
        <w:rPr>
          <w:b/>
          <w:bCs/>
        </w:rPr>
        <w:t>5.2 Penyalahgunaan Kekuasaan oleh Pemimpin</w:t>
      </w:r>
    </w:p>
    <w:p w:rsidR="00D53774" w:rsidRDefault="00D53774" w:rsidP="00D53774">
      <w:r>
        <w:lastRenderedPageBreak/>
        <w:t>Pemimpin musik memiliki tanggung jawab untuk mengatur latihan, membagi tugas, dan mengarahkan tim pelayanan. Namun, kedudukan tersebut dapat disalahgunakan apabila pemimpin merasa paling benar, memaksakan kehendak, atau tidak mau menerima masukan dari anggota.</w:t>
      </w:r>
    </w:p>
    <w:p w:rsidR="00D53774" w:rsidRDefault="00D53774" w:rsidP="00D53774">
      <w:r>
        <w:t>Sebagai contoh, seorang pemimpin dapat menolak pendapat anggota tanpa memberikan penjelasan atau memarahi anggota di depan orang lain. Tindakan seperti ini dapat merusak kepercayaan dan menciptakan suasana pelayanan yang tidak sehat. Markus 10:43–45 mengajarkan bahwa pemimpin dalam kehidupan Kristen harus menjadi pelayan bagi orang lain. Oleh karena itu, pemimpin musik perlu menggunakan wewenangnya dengan bijaksana, adil, dan penuh tanggung jawab.</w:t>
      </w:r>
    </w:p>
    <w:p w:rsidR="00D53774" w:rsidRDefault="00D53774" w:rsidP="00D53774">
      <w:pPr>
        <w:rPr>
          <w:b/>
          <w:bCs/>
        </w:rPr>
      </w:pPr>
      <w:r>
        <w:rPr>
          <w:b/>
          <w:bCs/>
        </w:rPr>
        <w:t>5.3 Pilih Kasih dalam Pembagian Tugas</w:t>
      </w:r>
    </w:p>
    <w:p w:rsidR="00D53774" w:rsidRDefault="00D53774" w:rsidP="00D53774">
      <w:r>
        <w:t>Tantangan lainnya adalah sikap pilih kasih dalam memberikan kesempatan pelayanan. Pemimpin mungkin lebih sering memilih orang yang dekat dengannya atau hanya memberikan kesempatan kepada anggota yang dianggap paling berbakat. Jika tidak disertai pertimbangan yang adil, kebiasaan ini dapat membuat anggota lain merasa tidak dihargai.</w:t>
      </w:r>
    </w:p>
    <w:p w:rsidR="00D53774" w:rsidRDefault="00D53774" w:rsidP="00D53774">
      <w:r>
        <w:t>Kemampuan dan kesiapan memang perlu dipertimbangkan dalam pembagian tugas, tetapi pemimpin juga perlu memberikan ruang bagi anggota lain untuk belajar dan berkembang. Yakobus 2:1 mengingatkan orang percaya agar tidak membeda-bedakan orang. Prinsip ini dapat diterapkan dengan memberikan kesempatan secara adil sesuai kemampuan, kesiapan, dan kebutuhan pelayanan.</w:t>
      </w:r>
    </w:p>
    <w:p w:rsidR="00D53774" w:rsidRDefault="00D53774" w:rsidP="00D53774">
      <w:pPr>
        <w:rPr>
          <w:b/>
          <w:bCs/>
        </w:rPr>
      </w:pPr>
      <w:r>
        <w:rPr>
          <w:b/>
          <w:bCs/>
        </w:rPr>
        <w:t>5.4 Konflik dan Perbedaan Pendapat dalam Tim</w:t>
      </w:r>
    </w:p>
    <w:p w:rsidR="00D53774" w:rsidRDefault="00D53774" w:rsidP="00D53774">
      <w:r>
        <w:t>Dalam pelayanan musik, perbedaan pendapat dapat muncul ketika menentukan lagu, mengatur aransemen, membagi tugas, atau memilih gaya musik yang digunakan dalam ibadah. Perbedaan tersebut sebenarnya wajar karena setiap anggota memiliki pemikiran dan pengalaman yang berbeda. Namun, masalah muncul ketika perbedaan pendapat disertai sikap keras kepala, saling menyalahkan, atau merendahkan orang lain.</w:t>
      </w:r>
    </w:p>
    <w:p w:rsidR="00D53774" w:rsidRDefault="00D53774" w:rsidP="00D53774"/>
    <w:p w:rsidR="00D53774" w:rsidRDefault="00D53774" w:rsidP="00D53774">
      <w:r>
        <w:t xml:space="preserve">Misalnya, seorang pemain musik menolak masukan dari anggota lain karena merasa lebih berpengalaman. Jika sikap seperti ini terus terjadi, kerja sama tim dapat terganggu. Efesus 4:2–3 mengajarkan pentingnya kerendahan hati, </w:t>
      </w:r>
      <w:r>
        <w:lastRenderedPageBreak/>
        <w:t>kelemahlembutan, kesabaran, dan usaha memelihara kesatuan. Karena itu, setiap anggota perlu belajar mendengarkan, berdiskusi dengan baik, dan menyelesaikan konflik secara dewasa.</w:t>
      </w:r>
    </w:p>
    <w:p w:rsidR="00D53774" w:rsidRDefault="00D53774" w:rsidP="00D53774">
      <w:pPr>
        <w:rPr>
          <w:b/>
          <w:bCs/>
        </w:rPr>
      </w:pPr>
      <w:r>
        <w:rPr>
          <w:b/>
          <w:bCs/>
        </w:rPr>
        <w:t>5.5 Kurangnya Disiplin dan Tanggung Jawab</w:t>
      </w:r>
    </w:p>
    <w:p w:rsidR="00D53774" w:rsidRDefault="00D53774" w:rsidP="00D53774">
      <w:r>
        <w:t>Disiplin merupakan bagian penting dalam pelayanan musik gereja. Datang terlambat saat latihan, tidak mempersiapkan lagu, atau mengabaikan tugas dapat menghambat persiapan ibadah dan membebani anggota lainnya. Hal ini menunjukkan bahwa kemampuan bermusik saja tidak cukup apabila tidak disertai tanggung jawab.</w:t>
      </w:r>
    </w:p>
    <w:p w:rsidR="00D53774" w:rsidRDefault="00D53774" w:rsidP="00D53774">
      <w:r>
        <w:t>Setiap anggota perlu menghargai waktu, mengikuti latihan dengan sungguh-sungguh, dan mempersiapkan diri sebelum melayani. Disiplin bukan hanya bentuk penghormatan terhadap pemimpin dan tim, tetapi juga wujud kesungguhan dalam melayani Tuhan. Oleh sebab itu, pemimpin perlu memberikan teladan dalam kedisiplinan dan membangun budaya tanggung jawab di antara anggota.</w:t>
      </w:r>
    </w:p>
    <w:p w:rsidR="00D53774" w:rsidRPr="001F62D6" w:rsidRDefault="00D53774" w:rsidP="00D53774">
      <w:pPr>
        <w:pStyle w:val="Heading1"/>
        <w:rPr>
          <w:sz w:val="24"/>
        </w:rPr>
      </w:pPr>
      <w:r w:rsidRPr="001F62D6">
        <w:rPr>
          <w:sz w:val="24"/>
        </w:rPr>
        <w:t>6. PRINSIP PRAKTIS MEMBANGUN KEPEMIMPINAN MUSIK YANG SEHAT</w:t>
      </w:r>
    </w:p>
    <w:p w:rsidR="00D53774" w:rsidRDefault="00D53774" w:rsidP="00D53774">
      <w:r>
        <w:t>Kepemimpinan yang sehat dalam pelayanan musik gereja perlu dibangun berdasarkan nilai-nilai Alkitab, karakter yang baik, dan tanggung jawab terhadap seluruh anggota tim. Pemimpin tidak hanya bertugas mengatur musik dan jalannya latihan, tetapi juga membimbing anggota agar dapat melayani dengan sikap yang benar. Oleh karena itu, kepemimpinan yang sehat perlu memperhatikan beberapa prinsip berikut.</w:t>
      </w:r>
    </w:p>
    <w:p w:rsidR="00D53774" w:rsidRDefault="00D53774" w:rsidP="00D53774">
      <w:pPr>
        <w:rPr>
          <w:b/>
          <w:bCs/>
        </w:rPr>
      </w:pPr>
      <w:r>
        <w:rPr>
          <w:b/>
          <w:bCs/>
        </w:rPr>
        <w:t>6.1 Menjadikan Tuhan sebagai Pusat Pelayanan</w:t>
      </w:r>
    </w:p>
    <w:p w:rsidR="00D53774" w:rsidRDefault="00D53774" w:rsidP="00D53774">
      <w:r>
        <w:t>Pemimpin musik harus menyadari bahwa tujuan utama pelayanan musik adalah memuliakan Tuhan, bukan mencari pujian atau pengakuan manusia. Kemampuan bermusik merupakan sesuatu yang perlu dikembangkan, tetapi tidak boleh membuat seseorang menjadi sombong atau merasa lebih hebat daripada orang lain.</w:t>
      </w:r>
    </w:p>
    <w:p w:rsidR="00D53774" w:rsidRDefault="00D53774" w:rsidP="00D53774"/>
    <w:p w:rsidR="00D53774" w:rsidRDefault="00D53774" w:rsidP="00D53774">
      <w:r>
        <w:t>Kolose 3:23 mengajarkan agar segala sesuatu dilakukan dengan segenap hati seperti untuk Tuhan. Prinsip ini mendorong pemimpin dan anggota tim untuk mempersiapkan pelayanan dengan sungguh-sungguh serta menjaga motivasi mereka. Dengan demikian, kualitas musik dan sikap hati dapat berjalan bersama dalam pelayanan.</w:t>
      </w:r>
    </w:p>
    <w:p w:rsidR="00D53774" w:rsidRDefault="00D53774" w:rsidP="00D53774">
      <w:pPr>
        <w:rPr>
          <w:b/>
          <w:bCs/>
        </w:rPr>
      </w:pPr>
      <w:r>
        <w:rPr>
          <w:b/>
          <w:bCs/>
        </w:rPr>
        <w:lastRenderedPageBreak/>
        <w:t>6.2 Menjadi Teladan bagi Anggota</w:t>
      </w:r>
    </w:p>
    <w:p w:rsidR="00D53774" w:rsidRDefault="00D53774" w:rsidP="00D53774">
      <w:r>
        <w:t>Pemimpin yang baik tidak hanya memberikan perintah, tetapi juga menunjukkan contoh melalui perilakunya. Kedisiplinan, kejujuran, kesabaran, dan kesediaan menerima kritik merupakan sikap yang perlu dimiliki seorang pemimpin musik.</w:t>
      </w:r>
    </w:p>
    <w:p w:rsidR="00D53774" w:rsidRDefault="00D53774" w:rsidP="00D53774">
      <w:r>
        <w:t>Sebagai contoh, pemimpin yang selalu hadir tepat waktu dan mengikuti latihan dengan serius akan mendorong anggota melakukan hal yang sama. Sebaliknya, pemimpin yang sering terlambat tetapi menuntut anggota untuk disiplin dapat kehilangan kepercayaan dari tim. Dalam 1 Timotius 4:12, Paulus menekankan pentingnya menjadi teladan dalam perkataan, tingkah laku, kasih, iman, dan kesucian. Prinsip ini menunjukkan bahwa keteladanan merupakan bagian penting dari kepemimpinan Kristen.</w:t>
      </w:r>
    </w:p>
    <w:p w:rsidR="00D53774" w:rsidRDefault="00D53774" w:rsidP="00D53774">
      <w:r>
        <w:t>6.3 Membangun Komunikasi yang Terbuka</w:t>
      </w:r>
    </w:p>
    <w:p w:rsidR="00D53774" w:rsidRDefault="00D53774" w:rsidP="00D53774">
      <w:r>
        <w:t>Komunikasi yang baik membantu pemimpin dan anggota bekerja sama serta mengurangi kesalahpahaman. Pemimpin perlu memberikan arahan dengan jelas, mendengarkan pendapat anggota, dan menyampaikan kritik dengan cara yang membangun.</w:t>
      </w:r>
    </w:p>
    <w:p w:rsidR="00D53774" w:rsidRDefault="00D53774" w:rsidP="00D53774">
      <w:r>
        <w:t>Misalnya, ketika seorang pemain musik melakukan kesalahan, pemimpin sebaiknya memberikan masukan secara baik dan menjelaskan bagian yang perlu diperbaiki. Tindakan mempermalukan anggota di depan orang lain justru dapat menurunkan semangat mereka. Efesus 4:29 mengajarkan agar perkataan yang disampaikan membangun dan memberi manfaat bagi orang yang mendengarnya. Karena itu, komunikasi dalam tim harus didasarkan pada rasa hormat dan keinginan untuk saling membangun.</w:t>
      </w:r>
    </w:p>
    <w:p w:rsidR="00D53774" w:rsidRDefault="00D53774" w:rsidP="00D53774">
      <w:pPr>
        <w:rPr>
          <w:b/>
          <w:bCs/>
        </w:rPr>
      </w:pPr>
      <w:r>
        <w:rPr>
          <w:b/>
          <w:bCs/>
        </w:rPr>
        <w:t>6.4 Bersikap Adil dan Menghargai Anggota</w:t>
      </w:r>
    </w:p>
    <w:p w:rsidR="00D53774" w:rsidRDefault="00D53774" w:rsidP="00D53774">
      <w:r>
        <w:t>Pemimpin musik perlu memperlakukan setiap anggota dengan adil tanpa membeda-bedakan berdasarkan kedekatan pribadi atau status tertentu. Setiap anggota memiliki kemampuan, pengalaman, dan kesempatan untuk berkembang yang berbeda-beda.</w:t>
      </w:r>
    </w:p>
    <w:p w:rsidR="00D53774" w:rsidRDefault="00D53774" w:rsidP="00D53774">
      <w:r>
        <w:t xml:space="preserve">Sebagai contoh, pemimpin dapat memberikan kesempatan kepada anggota yang lebih muda untuk belajar mengambil bagian dalam pelayanan dengan tetap memperhatikan kesiapan dan kemampuannya. Dengan cara ini, anggota merasa dihargai dan memiliki kesempatan untuk bertumbuh. Yakobus 2:1 mengingatkan orang percaya agar tidak memandang orang berdasarkan perlakuan yang pilih kasih. </w:t>
      </w:r>
      <w:r>
        <w:lastRenderedPageBreak/>
        <w:t>Prinsip keadilan membantu menciptakan lingkungan pelayanan yang sehat dan saling mendukung.</w:t>
      </w:r>
    </w:p>
    <w:p w:rsidR="00D53774" w:rsidRDefault="00D53774" w:rsidP="00D53774">
      <w:pPr>
        <w:rPr>
          <w:b/>
          <w:bCs/>
        </w:rPr>
      </w:pPr>
      <w:r>
        <w:rPr>
          <w:b/>
          <w:bCs/>
        </w:rPr>
        <w:t>6.5 Mengutamakan Kerja Sama</w:t>
      </w:r>
    </w:p>
    <w:p w:rsidR="00D53774" w:rsidRDefault="00D53774" w:rsidP="00D53774">
      <w:r>
        <w:t>Pelayanan musik gereja merupakan pekerjaan bersama yang membutuhkan kerja sama antara pemimpin, penyanyi, pemain musik, dan petugas pendukung lainnya. Tidak seorang pun dapat menganggap dirinya sebagai satu-satunya orang yang paling penting dalam tim.</w:t>
      </w:r>
    </w:p>
    <w:p w:rsidR="00D53774" w:rsidRDefault="00D53774" w:rsidP="00D53774">
      <w:r>
        <w:t>Sebagai contoh, keberhasilan ibadah tidak hanya ditentukan oleh penyanyi utama, tetapi juga oleh pemain musik, pengatur suara, dan anggota lain yang bekerja di balik layar. Karena itu, setiap anggota perlu menghargai kontribusi satu sama lain. Filipi 2:3–4 mengajarkan agar orang percaya tidak mencari kepentingan sendiri, tetapi juga memperhatikan kepentingan orang lain. Kerja sama yang baik akan membantu tim mencapai tujuan pelayanan bersama.</w:t>
      </w:r>
    </w:p>
    <w:p w:rsidR="00D53774" w:rsidRDefault="00D53774" w:rsidP="00D53774">
      <w:pPr>
        <w:rPr>
          <w:b/>
          <w:bCs/>
        </w:rPr>
      </w:pPr>
      <w:r>
        <w:rPr>
          <w:b/>
          <w:bCs/>
        </w:rPr>
        <w:t>6.6 Mengembangkan Kemampuan dan Tanggung Jawab</w:t>
      </w:r>
    </w:p>
    <w:p w:rsidR="00D53774" w:rsidRDefault="00D53774" w:rsidP="00D53774">
      <w:r>
        <w:t>Pemimpin musik perlu mendorong anggota untuk terus mengembangkan kemampuan bermusik dan meningkatkan tanggung jawab dalam pelayanan. Latihan yang teratur, persiapan lagu, serta kesediaan menerima evaluasi merupakan bagian penting dari proses tersebut.</w:t>
      </w:r>
    </w:p>
    <w:p w:rsidR="00D53774" w:rsidRDefault="00D53774" w:rsidP="00D53774">
      <w:r>
        <w:t>Misalnya, anggota yang belum menguasai sebuah lagu perlu diberikan kesempatan untuk berlatih dan memperoleh bimbingan, bukan langsung direndahkan atau disisihkan. Namun, anggota juga perlu menunjukkan kesungguhan dengan mempersiapkan diri sebelum latihan. Lukas 16:10 mengajarkan bahwa kesetiaan dalam perkara kecil berkaitan dengan kesetiaan dalam perkara besar. Oleh sebab itu, tanggung jawab dalam hal sederhana perlu diperhatikan sebagai bagian dari kedewasaan pelayanan.</w:t>
      </w:r>
    </w:p>
    <w:p w:rsidR="00D53774" w:rsidRDefault="00D53774" w:rsidP="00D53774">
      <w:pPr>
        <w:rPr>
          <w:b/>
          <w:bCs/>
        </w:rPr>
      </w:pPr>
      <w:r>
        <w:rPr>
          <w:b/>
          <w:bCs/>
        </w:rPr>
        <w:t>6.7 Melakukan Evaluasi dan Menyelesaikan Konflik dengan Bijaksana</w:t>
      </w:r>
    </w:p>
    <w:p w:rsidR="00D53774" w:rsidRDefault="00D53774" w:rsidP="00D53774">
      <w:r>
        <w:t>Evaluasi diperlukan untuk mengetahui kekurangan dan memperbaiki kualitas pelayanan musik gereja. Evaluasi sebaiknya tidak digunakan untuk mencari kesalahan atau mempermalukan anggota, melainkan untuk membantu tim berkembang bersama.</w:t>
      </w:r>
    </w:p>
    <w:p w:rsidR="00D53774" w:rsidRDefault="00D53774" w:rsidP="00D53774">
      <w:r>
        <w:t xml:space="preserve">Sebagai contoh, setelah ibadah, pemimpin dapat mengajak anggota membahas hal-hal yang sudah berjalan baik dan bagian yang perlu diperbaiki, seperti ketepatan </w:t>
      </w:r>
      <w:r>
        <w:lastRenderedPageBreak/>
        <w:t>tempo, koordinasi, atau komunikasi. Jika terjadi konflik, persoalan perlu dibicarakan secara terbuka dan diselesaikan dengan sikap saling menghargai. Matius 18:15 memberikan prinsip untuk menegur saudara yang melakukan kesalahan secara langsung. Dengan demikian, evaluasi dan penyelesaian konflik dapat menjadi sarana untuk memperkuat hubungan serta meningkatkan kualitas pelayanan.</w:t>
      </w:r>
    </w:p>
    <w:p w:rsidR="00D53774" w:rsidRDefault="00D53774" w:rsidP="00D53774">
      <w:r>
        <w:t>Membangun kepemimpinan musik yang sehat membutuhkan komitmen dari pemimpin dan seluruh anggota tim. Pemimpin perlu menjadikan Tuhan sebagai pusat pelayanan, memberikan teladan, membangun komunikasi yang terbuka, bersikap adil, serta mengutamakan kerja sama. Selain itu, pengembangan kemampuan, tanggung jawab, dan evaluasi juga diperlukan agar pelayanan dapat berjalan dengan baik.</w:t>
      </w:r>
    </w:p>
    <w:p w:rsidR="00D53774" w:rsidRDefault="00D53774" w:rsidP="00D53774">
      <w:r>
        <w:t>Kepemimpinan yang sehat bukan berarti tidak pernah menghadapi masalah, melainkan kesediaan untuk menghadapi masalah dengan bijaksana dan berdasarkan nilai-nilai Kristen. Ketika pemimpin dan anggota saling menghargai, mau belajar, serta bertanggung jawab, pelayanan musik gereja dapat menjadi lebih teratur, harmonis, dan bermakna bagi pertumbuhan iman jemaat.</w:t>
      </w:r>
    </w:p>
    <w:p w:rsidR="00D53774" w:rsidRPr="001F62D6" w:rsidRDefault="00D53774" w:rsidP="00D53774">
      <w:pPr>
        <w:pStyle w:val="Heading2"/>
        <w:rPr>
          <w:sz w:val="24"/>
        </w:rPr>
      </w:pPr>
      <w:r w:rsidRPr="001F62D6">
        <w:rPr>
          <w:sz w:val="24"/>
        </w:rPr>
        <w:t>Kesimpulan</w:t>
      </w:r>
    </w:p>
    <w:p w:rsidR="00D53774" w:rsidRDefault="00D53774" w:rsidP="00D53774">
      <w:pPr>
        <w:jc w:val="both"/>
      </w:pPr>
      <w:r>
        <w:t>Etika kepemimpinan dalam pelayanan musik gereja merupakan bagian penting karena musik tidak hanya berhubungan dengan suara dan alat musik, tetapi juga dengan iman, karakter, relasi, dan kehidupan bersama jemaat. Pemimpin musik memiliki tanggung jawab untuk mengarahkan pelayanan agar mendukung ibadah, menolong jemaat berpartisipasi, dan membangun kehidupan rohani. Karena itu, keberhasilan pelayanan tidak cukup dinilai dari penampilan yang bagus, aransemen yang menarik, atau suasana yang emosional. Keberhasilan juga perlu dilihat dari cara tim bekerja, bagaimana anggotanya diperlakukan, serta apakah pelayanan mencerminkan kasih dan kebenaran.</w:t>
      </w:r>
    </w:p>
    <w:p w:rsidR="00D53774" w:rsidRDefault="00D53774" w:rsidP="00D53774">
      <w:pPr>
        <w:jc w:val="both"/>
      </w:pPr>
      <w:r>
        <w:t xml:space="preserve">Alkitab memberikan dasar yang kuat bagi kepemimpinan musik. Kolose 3:16 mengingatkan bahwa nyanyian berkaitan dengan firman Kristus dan pembangunan iman. Efesus 5:19 menunjukkan bahwa nyanyian memiliki arah kepada Tuhan dan kepada sesama. Markus 10:42–45 menegaskan bahwa kepemimpinan Kristen adalah pelayanan, sedangkan 1 Korintus 12 mengingatkan bahwa anggota jemaat memiliki karunia yang berbeda dan saling membutuhkan. Prinsip-prinsip ini menolong </w:t>
      </w:r>
      <w:r>
        <w:lastRenderedPageBreak/>
        <w:t>pemimpin menghindari kesombongan, pilih kasih, manipulasi rohani, dan budaya yang hanya menghargai orang paling berbakat.</w:t>
      </w:r>
    </w:p>
    <w:p w:rsidR="00D53774" w:rsidRDefault="00D53774" w:rsidP="00D53774">
      <w:pPr>
        <w:jc w:val="both"/>
      </w:pPr>
      <w:r>
        <w:t>Pemimpin musik yang beretika perlu memiliki kerendahan hati, kejujuran, disiplin, empati, keadilan, dan kemauan untuk terus belajar. Ia harus menyiapkan pelayanan dengan baik, memilih lagu secara bertanggung jawab, menjaga komunikasi, membina anggota, mengelola dana dengan transparan, menghormati batas kemampuan manusia, dan membuka diri terhadap evaluasi. Sikap melayani tidak berarti mengabaikan standar, sedangkan standar yang tinggi tidak boleh menjadi alasan untuk merendahkan orang lain. Kualitas dan kepedulian harus berjalan bersama.</w:t>
      </w:r>
    </w:p>
    <w:p w:rsidR="00D53774" w:rsidRDefault="00D53774" w:rsidP="00D53774">
      <w:pPr>
        <w:jc w:val="both"/>
      </w:pPr>
      <w:r>
        <w:t>Pada akhirnya, musik gereja seharusnya menjadi ruang tempat kasih, keadilan, kerendahan hati, dan kesetiaan dapat terlihat secara nyata. Tim yang menyanyikan tentang kasih Kristus dipanggil untuk saling memperlakukan dengan kasih. Pemimpin yang memimpin jemaat menyanyikan tentang kesetiaan dipanggil untuk menjadi pribadi yang dapat dipercaya. Ketika karakter dan kemampuan musik berkembang bersama, pelayanan musik tidak hanya menghasilkan bunyi yang indah, tetapi juga membangun komunitas yang memberi kesaksian tentang Injil.</w:t>
      </w:r>
    </w:p>
    <w:p w:rsidR="00D53774" w:rsidRPr="001F62D6" w:rsidRDefault="00D53774" w:rsidP="001F62D6">
      <w:r w:rsidRPr="001F62D6">
        <w:t>DAFTAR PUSTAKA</w:t>
      </w:r>
    </w:p>
    <w:p w:rsidR="00D53774" w:rsidRDefault="00D53774" w:rsidP="00D53774">
      <w:pPr>
        <w:spacing w:line="276" w:lineRule="auto"/>
        <w:ind w:left="504" w:hanging="504"/>
        <w:jc w:val="both"/>
      </w:pPr>
      <w:r>
        <w:t>Best, H. (2003). Unceasing Worship: Biblical Perspectives on Worship and the Arts. Downers Grove, IL: InterVarsity Press.</w:t>
      </w:r>
    </w:p>
    <w:p w:rsidR="00D53774" w:rsidRDefault="00D53774" w:rsidP="00D53774">
      <w:pPr>
        <w:spacing w:line="276" w:lineRule="auto"/>
        <w:ind w:left="504" w:hanging="504"/>
        <w:jc w:val="both"/>
      </w:pPr>
      <w:r>
        <w:t>Begbie, J. S. (2000). Theology, Music and Time. Cambridge: Cambridge University Press.</w:t>
      </w:r>
    </w:p>
    <w:p w:rsidR="00D53774" w:rsidRDefault="00D53774" w:rsidP="00D53774">
      <w:pPr>
        <w:spacing w:line="276" w:lineRule="auto"/>
        <w:ind w:left="504" w:hanging="504"/>
        <w:jc w:val="both"/>
      </w:pPr>
      <w:r>
        <w:t>Corbitt, J. N. (1998). The Sound of the Harvest: Music's Mission in Church and Culture. Grand Rapids, MI: Baker Books.</w:t>
      </w:r>
    </w:p>
    <w:p w:rsidR="00D53774" w:rsidRDefault="00D53774" w:rsidP="00D53774">
      <w:pPr>
        <w:spacing w:line="276" w:lineRule="auto"/>
        <w:ind w:left="504" w:hanging="504"/>
        <w:jc w:val="both"/>
      </w:pPr>
      <w:r>
        <w:t>Johansson, C. M. (1998). Music &amp; Ministry: A Biblical Counterpoint (2nd ed.). Peabody, MA: Hendrickson Publishers.</w:t>
      </w:r>
    </w:p>
    <w:p w:rsidR="00D53774" w:rsidRDefault="00D53774" w:rsidP="00D53774">
      <w:pPr>
        <w:spacing w:line="276" w:lineRule="auto"/>
        <w:ind w:left="504" w:hanging="504"/>
        <w:jc w:val="both"/>
      </w:pPr>
      <w:r>
        <w:t>MacLachlan, H. (2022). Church Music Leaders in the USA: Prioritizing Technical Competence and Inclusion. Yale Journal of Music &amp; Religion, 8(2). https://doi.org/10.17132/2377-231X.1241</w:t>
      </w:r>
    </w:p>
    <w:p w:rsidR="00D53774" w:rsidRDefault="00D53774" w:rsidP="00D53774">
      <w:pPr>
        <w:spacing w:line="276" w:lineRule="auto"/>
        <w:ind w:left="504" w:hanging="504"/>
        <w:jc w:val="both"/>
      </w:pPr>
      <w:r>
        <w:t>Myrick, N. (2021). Music for Others: Care, Justice, and Relational Ethics in Christian Music. New York: Oxford University Press.</w:t>
      </w:r>
    </w:p>
    <w:p w:rsidR="00D53774" w:rsidRDefault="00D53774" w:rsidP="00D53774">
      <w:pPr>
        <w:spacing w:line="276" w:lineRule="auto"/>
        <w:ind w:left="504" w:hanging="504"/>
        <w:jc w:val="both"/>
      </w:pPr>
      <w:r>
        <w:t>Myrick, N., &amp; Porter, M. (Eds.). (2021). Ethics and Christian Musicking. New York: Routledge.</w:t>
      </w:r>
    </w:p>
    <w:p w:rsidR="00D53774" w:rsidRDefault="00D53774" w:rsidP="00D53774">
      <w:pPr>
        <w:spacing w:line="276" w:lineRule="auto"/>
        <w:ind w:left="504" w:hanging="504"/>
        <w:jc w:val="both"/>
      </w:pPr>
      <w:r>
        <w:lastRenderedPageBreak/>
        <w:t>Perry, A. (2018). Biblical Theology for Ethical Leadership: Leaders from Beginning to End. Cham: Springer. https://doi.org/10.1007/978-3-319-75043-9</w:t>
      </w:r>
    </w:p>
    <w:p w:rsidR="00D53774" w:rsidRDefault="00D53774" w:rsidP="00D53774">
      <w:pPr>
        <w:spacing w:line="276" w:lineRule="auto"/>
        <w:ind w:left="504" w:hanging="504"/>
        <w:jc w:val="both"/>
      </w:pPr>
      <w:r>
        <w:t>Schröder, J. (2021). Academic Music Ministry Training from a Practical-Theological Perspective. Acta Theologica, Supplement 31, 209–232. https://doi.org/10.4314/actat.v31i1</w:t>
      </w:r>
    </w:p>
    <w:p w:rsidR="00D53774" w:rsidRDefault="00D53774" w:rsidP="00D53774">
      <w:pPr>
        <w:spacing w:line="276" w:lineRule="auto"/>
        <w:ind w:left="504" w:hanging="504"/>
        <w:jc w:val="both"/>
      </w:pPr>
      <w:r>
        <w:t>Utomo, Y. K. (2022). Manajemen dalam Mengembangkan Pelayanan Musik Gerejawi. Shift Key: Jurnal Teologi dan Pengembangan Pelayanan, 13(1). https://doi.org/10.37465/shiftkey.v13i1.320</w:t>
      </w:r>
    </w:p>
    <w:p w:rsidR="00D53774" w:rsidRDefault="00D53774" w:rsidP="00D53774">
      <w:pPr>
        <w:spacing w:line="276" w:lineRule="auto"/>
        <w:ind w:left="504" w:hanging="504"/>
        <w:jc w:val="both"/>
      </w:pPr>
      <w:r>
        <w:t>Risna. (2023). Manajemen Pelayanan Musik dalam Ibadah Hari Minggu Ditinjau dari Perspektif Etika. Sandaoni.</w:t>
      </w:r>
    </w:p>
    <w:p w:rsidR="00D53774" w:rsidRDefault="00D53774" w:rsidP="00D53774">
      <w:pPr>
        <w:spacing w:line="276" w:lineRule="auto"/>
        <w:ind w:left="504" w:hanging="504"/>
        <w:jc w:val="both"/>
      </w:pPr>
      <w:r>
        <w:t>Willimon, W. H. (2002). Pastor: The Theology and Practice of Ordained Ministry (Rev. ed.). Nashville, TN: Abingdon Press.</w:t>
      </w:r>
    </w:p>
    <w:p w:rsidR="00D53774" w:rsidRDefault="00D53774" w:rsidP="00D53774">
      <w:pPr>
        <w:spacing w:line="276" w:lineRule="auto"/>
        <w:ind w:left="504" w:hanging="504"/>
        <w:jc w:val="both"/>
      </w:pPr>
      <w:r>
        <w:t>Greenleaf, R. K. (2002). Servant Leadership: A Journey into the Nature of Legitimate Power and Greatness. Mahwah, NJ: Paulist Press.</w:t>
      </w:r>
    </w:p>
    <w:p w:rsidR="00D53774" w:rsidRDefault="00D53774" w:rsidP="00D53774">
      <w:pPr>
        <w:spacing w:line="276" w:lineRule="auto"/>
        <w:ind w:left="504" w:hanging="504"/>
        <w:jc w:val="both"/>
      </w:pPr>
      <w:r>
        <w:t>Northouse, P. G. (2021). Leadership: Theory and Practice (9th ed.). Thousand Oaks, CA: SAGE Publications.</w:t>
      </w:r>
    </w:p>
    <w:p w:rsidR="00D53774" w:rsidRDefault="00D53774" w:rsidP="00D53774">
      <w:pPr>
        <w:spacing w:line="276" w:lineRule="auto"/>
        <w:ind w:left="504" w:hanging="504"/>
        <w:jc w:val="both"/>
      </w:pPr>
      <w:r>
        <w:t>Peterson, E. H. (1987). Working the Angles: The Shape of Pastoral Integrity. Grand Rapids, MI: Eerdmans.</w:t>
      </w:r>
    </w:p>
    <w:p w:rsidR="00D53774" w:rsidRDefault="00D53774" w:rsidP="00D53774">
      <w:pPr>
        <w:spacing w:line="276" w:lineRule="auto"/>
        <w:ind w:left="504" w:hanging="504"/>
        <w:jc w:val="both"/>
      </w:pPr>
      <w:r>
        <w:t>Warren, M. (2014). The Social Roots of Risk: Producing Disasters, Promoting Resilience. Stanford, CA: Stanford University Press.</w:t>
      </w:r>
    </w:p>
    <w:p w:rsidR="00D53774" w:rsidRDefault="00D53774" w:rsidP="00D53774">
      <w:pPr>
        <w:spacing w:line="276" w:lineRule="auto"/>
        <w:ind w:left="504" w:hanging="504"/>
        <w:jc w:val="both"/>
      </w:pPr>
      <w:r>
        <w:t>Rusmansyah, A. (2009). Musik liturgi Gereja Katolik. Musik Liturgi Gereja Katolik, 2(50), 38–94.</w:t>
      </w:r>
    </w:p>
    <w:p w:rsidR="00D53774" w:rsidRDefault="00D53774" w:rsidP="00D53774">
      <w:pPr>
        <w:spacing w:line="276" w:lineRule="auto"/>
        <w:ind w:left="504" w:hanging="504"/>
        <w:jc w:val="both"/>
      </w:pPr>
      <w:r>
        <w:t>Setiawan, K. A. (2003). Musik dalam Perjanjian Baru: Bermazmur dan bernyanyi dalam Efesus 5:19–20. Jurnal Theologia Aletheia, 8, 15–26.</w:t>
      </w:r>
    </w:p>
    <w:p w:rsidR="00D53774" w:rsidRDefault="00D53774" w:rsidP="00D53774">
      <w:pPr>
        <w:spacing w:line="276" w:lineRule="auto"/>
        <w:ind w:left="504" w:hanging="504"/>
        <w:jc w:val="both"/>
      </w:pPr>
      <w:r>
        <w:t>Sutandio, Y. (2003). Sejarah perkembangan nyanyian jemaat (dari masa Perjanjian Lama sampai dengan abad ke-19) dan pengaruhnya di dalam sejarah gereja. Jurnal Theologia Aletheia, 5(8).</w:t>
      </w:r>
    </w:p>
    <w:p w:rsidR="00D53774" w:rsidRDefault="00D53774" w:rsidP="00D53774">
      <w:pPr>
        <w:spacing w:line="276" w:lineRule="auto"/>
        <w:ind w:left="504" w:hanging="504"/>
        <w:jc w:val="both"/>
      </w:pPr>
      <w:r>
        <w:t xml:space="preserve">Tandei, S. E. (2014). Tinjauan historis perkembangan musik gerejawi di dalam gereja-gereja independen (Free Churches) dan implikasinya bagi penatalayanan musik gerejawi di masa kini. Veritas: Jurnal Teologi dan Pelayanan, 15(1), 81–106. </w:t>
      </w:r>
    </w:p>
    <w:p w:rsidR="00D53774" w:rsidRDefault="00D53774" w:rsidP="00D53774">
      <w:pPr>
        <w:spacing w:line="276" w:lineRule="auto"/>
        <w:ind w:left="504" w:hanging="504"/>
        <w:jc w:val="both"/>
      </w:pPr>
      <w:r>
        <w:lastRenderedPageBreak/>
        <w:t>Tumanan, Y. L. (2015). Ibadah kontemporer: Sebuah analisis reflektif terhadap hadirnya budaya populer dalam gereja masa kini. Jurnal Jaffray, 13(1).</w:t>
      </w:r>
    </w:p>
    <w:p w:rsidR="00D53774" w:rsidRDefault="00D53774" w:rsidP="00D53774">
      <w:pPr>
        <w:jc w:val="both"/>
      </w:pPr>
    </w:p>
    <w:p w:rsidR="001F62D6" w:rsidRDefault="001F62D6" w:rsidP="00D53774">
      <w:pPr>
        <w:jc w:val="both"/>
      </w:pPr>
    </w:p>
    <w:p w:rsidR="001F62D6" w:rsidRDefault="001F62D6" w:rsidP="00D53774">
      <w:pPr>
        <w:jc w:val="both"/>
      </w:pPr>
    </w:p>
    <w:p w:rsidR="001F62D6" w:rsidRDefault="001F62D6" w:rsidP="00D53774">
      <w:pPr>
        <w:jc w:val="both"/>
      </w:pPr>
    </w:p>
    <w:p w:rsidR="001F62D6" w:rsidRDefault="001F62D6" w:rsidP="00D53774">
      <w:pPr>
        <w:jc w:val="both"/>
      </w:pPr>
    </w:p>
    <w:p w:rsidR="001F62D6" w:rsidRDefault="001F62D6" w:rsidP="00D53774">
      <w:pPr>
        <w:jc w:val="both"/>
      </w:pPr>
    </w:p>
    <w:p w:rsidR="001F62D6" w:rsidRDefault="001F62D6" w:rsidP="00D53774">
      <w:pPr>
        <w:jc w:val="both"/>
      </w:pPr>
    </w:p>
    <w:p w:rsidR="001F62D6" w:rsidRDefault="001F62D6" w:rsidP="00D53774">
      <w:pPr>
        <w:jc w:val="both"/>
      </w:pPr>
    </w:p>
    <w:p w:rsidR="001F62D6" w:rsidRDefault="001F62D6" w:rsidP="00D53774">
      <w:pPr>
        <w:jc w:val="both"/>
      </w:pPr>
    </w:p>
    <w:p w:rsidR="001F62D6" w:rsidRDefault="001F62D6" w:rsidP="00D53774">
      <w:pPr>
        <w:jc w:val="both"/>
      </w:pPr>
    </w:p>
    <w:p w:rsidR="001F62D6" w:rsidRDefault="001F62D6" w:rsidP="00D53774">
      <w:pPr>
        <w:jc w:val="both"/>
      </w:pPr>
    </w:p>
    <w:p w:rsidR="001F62D6" w:rsidRDefault="001F62D6" w:rsidP="00D53774">
      <w:pPr>
        <w:jc w:val="both"/>
      </w:pPr>
    </w:p>
    <w:p w:rsidR="001F62D6" w:rsidRDefault="001F62D6" w:rsidP="00D53774">
      <w:pPr>
        <w:jc w:val="both"/>
      </w:pPr>
    </w:p>
    <w:p w:rsidR="001F62D6" w:rsidRDefault="001F62D6" w:rsidP="00D53774">
      <w:pPr>
        <w:jc w:val="both"/>
      </w:pPr>
    </w:p>
    <w:p w:rsidR="001F62D6" w:rsidRDefault="001F62D6" w:rsidP="00D53774">
      <w:pPr>
        <w:jc w:val="both"/>
      </w:pPr>
    </w:p>
    <w:p w:rsidR="001F62D6" w:rsidRDefault="001F62D6" w:rsidP="00D53774">
      <w:pPr>
        <w:jc w:val="both"/>
      </w:pPr>
    </w:p>
    <w:p w:rsidR="001F62D6" w:rsidRDefault="001F62D6" w:rsidP="00D53774">
      <w:pPr>
        <w:jc w:val="both"/>
      </w:pPr>
    </w:p>
    <w:p w:rsidR="001F62D6" w:rsidRDefault="001F62D6" w:rsidP="00D53774">
      <w:pPr>
        <w:jc w:val="both"/>
      </w:pPr>
    </w:p>
    <w:p w:rsidR="001F62D6" w:rsidRDefault="001F62D6" w:rsidP="00D53774">
      <w:pPr>
        <w:jc w:val="both"/>
      </w:pPr>
    </w:p>
    <w:p w:rsidR="001F62D6" w:rsidRDefault="001F62D6" w:rsidP="00D53774">
      <w:pPr>
        <w:jc w:val="both"/>
      </w:pPr>
    </w:p>
    <w:p w:rsidR="001F62D6" w:rsidRDefault="001F62D6" w:rsidP="00D53774">
      <w:pPr>
        <w:jc w:val="both"/>
      </w:pPr>
    </w:p>
    <w:p w:rsidR="001F62D6" w:rsidRDefault="001F62D6" w:rsidP="00D53774">
      <w:pPr>
        <w:jc w:val="both"/>
      </w:pPr>
    </w:p>
    <w:p w:rsidR="001F62D6" w:rsidRDefault="001F62D6" w:rsidP="00D53774">
      <w:pPr>
        <w:jc w:val="both"/>
      </w:pPr>
    </w:p>
    <w:p w:rsidR="00D53774" w:rsidRPr="001F62D6" w:rsidRDefault="00D53774" w:rsidP="00D53774">
      <w:pPr>
        <w:jc w:val="center"/>
        <w:rPr>
          <w:rFonts w:ascii="Times New Roman" w:hAnsi="Times New Roman" w:cs="Times New Roman"/>
          <w:b/>
        </w:rPr>
      </w:pPr>
      <w:r w:rsidRPr="001F62D6">
        <w:rPr>
          <w:rFonts w:ascii="Times New Roman" w:hAnsi="Times New Roman" w:cs="Times New Roman"/>
          <w:b/>
        </w:rPr>
        <w:lastRenderedPageBreak/>
        <w:t>BAB VI</w:t>
      </w:r>
    </w:p>
    <w:p w:rsidR="00D53774" w:rsidRPr="001F62D6" w:rsidRDefault="00D53774" w:rsidP="00D53774">
      <w:pPr>
        <w:jc w:val="center"/>
        <w:rPr>
          <w:rFonts w:ascii="Times New Roman" w:hAnsi="Times New Roman" w:cs="Times New Roman"/>
        </w:rPr>
      </w:pPr>
      <w:r w:rsidRPr="001F62D6">
        <w:rPr>
          <w:rFonts w:ascii="Times New Roman" w:hAnsi="Times New Roman" w:cs="Times New Roman"/>
          <w:b/>
        </w:rPr>
        <w:t>ISU-ISU KRITIS TEKNOLOGI DALAM IBADAH PENTAKOSTA-KARISMATIK</w:t>
      </w:r>
    </w:p>
    <w:p w:rsidR="00D53774" w:rsidRPr="001F62D6" w:rsidRDefault="00D53774" w:rsidP="00D53774">
      <w:pPr>
        <w:jc w:val="center"/>
        <w:rPr>
          <w:rFonts w:ascii="Times New Roman" w:hAnsi="Times New Roman" w:cs="Times New Roman"/>
          <w:b/>
        </w:rPr>
      </w:pPr>
      <w:r w:rsidRPr="001F62D6">
        <w:rPr>
          <w:rFonts w:ascii="Times New Roman" w:hAnsi="Times New Roman" w:cs="Times New Roman"/>
          <w:b/>
        </w:rPr>
        <w:t>Evaluasi Relevansi Ibadah Digital dan Multimedia bagi Gereja Masa Kini</w:t>
      </w:r>
    </w:p>
    <w:p w:rsidR="00D53774" w:rsidRDefault="00D53774" w:rsidP="00D53774">
      <w:pPr>
        <w:rPr>
          <w:rFonts w:cs="Times New Roman"/>
          <w:b/>
          <w:bCs/>
        </w:rPr>
      </w:pPr>
      <w:r>
        <w:rPr>
          <w:rFonts w:cs="Times New Roman"/>
          <w:b/>
          <w:bCs/>
        </w:rPr>
        <w:t>6.1. PENDAHULUAN</w:t>
      </w:r>
    </w:p>
    <w:p w:rsidR="00D53774" w:rsidRDefault="00D53774" w:rsidP="00D53774">
      <w:pPr>
        <w:rPr>
          <w:rFonts w:cs="Times New Roman"/>
        </w:rPr>
      </w:pPr>
      <w:r>
        <w:rPr>
          <w:rFonts w:cs="Times New Roman"/>
        </w:rPr>
        <w:t>Gereja hidup di tengah perubahan budaya yang menyentuh cara manusia memahami ruang, waktu, relasi, otoritas, dan pengalaman beragama. Internet, telepon pintar, media sosial, streaming, aplikasi Alkitab, dan kecerdasan buatan sudah menjadi bagian hidup sehari-hari. Karena itu gereja tidak dapat membahas ibadah seolah-olah jemaat hidup di dunia beberapa dekade lalu.</w:t>
      </w:r>
    </w:p>
    <w:p w:rsidR="00D53774" w:rsidRDefault="00D53774" w:rsidP="00D53774">
      <w:pPr>
        <w:rPr>
          <w:rFonts w:cs="Times New Roman"/>
        </w:rPr>
      </w:pPr>
      <w:r>
        <w:rPr>
          <w:rFonts w:cs="Times New Roman"/>
        </w:rPr>
        <w:t>Perubahan ini penting bagi gereja Pentakosta-Karismatik, yang menekankan karya Roh Kudus, doa, pujian, kesaksian, karunia Roh, dan partisipasi jemaat. Ibadahnya juga terbuka pada musik kontemporer dan media, sehingga teknologi membawa peluang besar sekaligus risiko baru.</w:t>
      </w:r>
    </w:p>
    <w:p w:rsidR="00D53774" w:rsidRDefault="00D53774" w:rsidP="00D53774">
      <w:pPr>
        <w:rPr>
          <w:rFonts w:cs="Times New Roman"/>
        </w:rPr>
      </w:pPr>
      <w:r>
        <w:rPr>
          <w:rFonts w:cs="Times New Roman"/>
        </w:rPr>
        <w:t>Lontoh dan Wibowo meneliti Digital Pentecostalism di Indonesia: gereja-gereja Pentakosta memakai platform digital untuk ibadah, komunitas virtual, dan media sosial.</w:t>
      </w:r>
      <w:r>
        <w:rPr>
          <w:rStyle w:val="FootnoteReference"/>
          <w:rFonts w:cs="Times New Roman"/>
        </w:rPr>
        <w:footnoteReference w:id="44"/>
      </w:r>
      <w:r>
        <w:rPr>
          <w:rFonts w:cs="Times New Roman"/>
        </w:rPr>
        <w:t xml:space="preserve"> Doa, nubuat, bahasa roh, dan pelayanan kesembuhan tetap dapat dilakukan secara digital, tetapi muncul pertanyaan tentang keaslian pengalaman, keintiman komunitas, dan keterlibatan rohani. Jadi persoalan teknologi juga menyangkut eklesiologi, spiritualitas, dan teologi.</w:t>
      </w:r>
    </w:p>
    <w:p w:rsidR="00D53774" w:rsidRDefault="00D53774" w:rsidP="00D53774">
      <w:pPr>
        <w:rPr>
          <w:rFonts w:cs="Times New Roman"/>
        </w:rPr>
      </w:pPr>
      <w:r>
        <w:rPr>
          <w:rFonts w:cs="Times New Roman"/>
        </w:rPr>
        <w:t>Mudau dan Tshifhumulo menunjukkan bahwa media digital membuka peluang penginjilan, pendidikan teologi, dan pembangunan komunitas, tetapi juga menimbulkan masalah keaslian, perubahan tradisi, dan tersisihnya orang yang tidak mahir teknologi.</w:t>
      </w:r>
      <w:r>
        <w:rPr>
          <w:rStyle w:val="FootnoteReference"/>
          <w:rFonts w:cs="Times New Roman"/>
        </w:rPr>
        <w:footnoteReference w:id="45"/>
      </w:r>
      <w:r>
        <w:rPr>
          <w:rFonts w:cs="Times New Roman"/>
        </w:rPr>
        <w:t xml:space="preserve"> Karena itu pertanyaan yang tepat bukan “Bolehkah gereja memakai teknologi?”, melainkan “Untuk tujuan apa, dengan batas apa, dan berdasarkan teologi apa?”</w:t>
      </w:r>
    </w:p>
    <w:p w:rsidR="00D53774" w:rsidRDefault="00D53774" w:rsidP="00D53774">
      <w:pPr>
        <w:rPr>
          <w:rFonts w:cs="Times New Roman"/>
          <w:b/>
          <w:bCs/>
        </w:rPr>
      </w:pPr>
      <w:r>
        <w:rPr>
          <w:rFonts w:cs="Times New Roman"/>
          <w:b/>
          <w:bCs/>
        </w:rPr>
        <w:t>6.2. LANDASAN KONSEPTUAL DAN TEOLOGIS</w:t>
      </w:r>
    </w:p>
    <w:p w:rsidR="00D53774" w:rsidRDefault="00D53774" w:rsidP="00D53774">
      <w:pPr>
        <w:rPr>
          <w:rFonts w:cs="Times New Roman"/>
        </w:rPr>
      </w:pPr>
      <w:r>
        <w:rPr>
          <w:rFonts w:cs="Times New Roman"/>
          <w:b/>
          <w:bCs/>
        </w:rPr>
        <w:lastRenderedPageBreak/>
        <w:t>6.2.1. Pengertian Teknologi</w:t>
      </w:r>
    </w:p>
    <w:p w:rsidR="00D53774" w:rsidRDefault="00D53774" w:rsidP="00D53774">
      <w:pPr>
        <w:rPr>
          <w:rFonts w:cs="Times New Roman"/>
        </w:rPr>
      </w:pPr>
      <w:r>
        <w:rPr>
          <w:rFonts w:cs="Times New Roman"/>
        </w:rPr>
        <w:t>Teknologi bukan hanya perangkat elektronik. Teknologi adalah pengetahuan, metode, sistem, dan alat yang dipakai manusia untuk mencapai tujuan. Dalam ibadah, wujudnya berupa mikrofon, proyektor, kamera, aplikasi Alkitab, streaming, media sosial, hingga AI.</w:t>
      </w:r>
    </w:p>
    <w:p w:rsidR="00D53774" w:rsidRDefault="00D53774" w:rsidP="00D53774">
      <w:pPr>
        <w:rPr>
          <w:rFonts w:cs="Times New Roman"/>
        </w:rPr>
      </w:pPr>
      <w:r>
        <w:rPr>
          <w:rFonts w:cs="Times New Roman"/>
        </w:rPr>
        <w:t>Masalah muncul ketika alat dianggap tujuan. Ibadah lalu dinilai dari kualitas visual, jumlah penonton, atau respons digital, bukan dari kesetiaan pada firman, kasih, pertobatan, dan pemuridan.</w:t>
      </w:r>
    </w:p>
    <w:p w:rsidR="00D53774" w:rsidRDefault="00D53774" w:rsidP="00D53774">
      <w:pPr>
        <w:rPr>
          <w:rFonts w:cs="Times New Roman"/>
          <w:b/>
          <w:bCs/>
        </w:rPr>
      </w:pPr>
      <w:r>
        <w:rPr>
          <w:rFonts w:cs="Times New Roman"/>
          <w:b/>
          <w:bCs/>
        </w:rPr>
        <w:t>6.2.2. Pengertian Ibadah Kristen</w:t>
      </w:r>
    </w:p>
    <w:p w:rsidR="00D53774" w:rsidRDefault="00D53774" w:rsidP="00D53774">
      <w:pPr>
        <w:rPr>
          <w:rFonts w:cs="Times New Roman"/>
        </w:rPr>
      </w:pPr>
      <w:r>
        <w:rPr>
          <w:rFonts w:cs="Times New Roman"/>
        </w:rPr>
        <w:t>Ibadah adalah respons manusia kepada Allah yang mencakup seluruh hidup. Roma 12:1 menyebut tubuh sebagai persembahan yang hidup, kudus, dan berkenan kepada Allah, sehingga ibadah tidak terbatas pada acara bernyanyi hari Minggu.</w:t>
      </w:r>
      <w:r>
        <w:rPr>
          <w:rStyle w:val="FootnoteReference"/>
          <w:rFonts w:cs="Times New Roman"/>
        </w:rPr>
        <w:footnoteReference w:id="46"/>
      </w:r>
      <w:r>
        <w:rPr>
          <w:rFonts w:cs="Times New Roman"/>
        </w:rPr>
        <w:t xml:space="preserve"> Ibadah meliputi mendengar firman, berdoa, memuji, hidup kudus, melayani, dan mengasihi sesama.</w:t>
      </w:r>
    </w:p>
    <w:p w:rsidR="00D53774" w:rsidRDefault="00D53774" w:rsidP="00D53774">
      <w:pPr>
        <w:rPr>
          <w:rFonts w:cs="Times New Roman"/>
        </w:rPr>
      </w:pPr>
      <w:r>
        <w:rPr>
          <w:rFonts w:cs="Times New Roman"/>
        </w:rPr>
        <w:t>Yohanes 4:23–24 menekankan penyembahan dalam roh dan kebenaran: pusat ibadah adalah Allah, bukan tempat atau perangkat. Teknologi dapat membantu, tetapi tidak menggantikan karya Roh Kudus dan iman jemaat.</w:t>
      </w:r>
      <w:r>
        <w:rPr>
          <w:rStyle w:val="FootnoteReference"/>
          <w:rFonts w:cs="Times New Roman"/>
        </w:rPr>
        <w:footnoteReference w:id="47"/>
      </w:r>
    </w:p>
    <w:p w:rsidR="00D53774" w:rsidRDefault="00D53774" w:rsidP="00D53774">
      <w:pPr>
        <w:rPr>
          <w:rFonts w:cs="Times New Roman"/>
          <w:b/>
          <w:bCs/>
        </w:rPr>
      </w:pPr>
      <w:r>
        <w:rPr>
          <w:rFonts w:cs="Times New Roman"/>
          <w:b/>
          <w:bCs/>
        </w:rPr>
        <w:t>6.2.3. Kekhasan Ibadah Pentakosta-Karismatik</w:t>
      </w:r>
    </w:p>
    <w:p w:rsidR="00D53774" w:rsidRDefault="00D53774" w:rsidP="00D53774">
      <w:pPr>
        <w:rPr>
          <w:rFonts w:cs="Times New Roman"/>
        </w:rPr>
      </w:pPr>
      <w:r>
        <w:rPr>
          <w:rFonts w:cs="Times New Roman"/>
        </w:rPr>
        <w:t>Ibadah Pentakosta-Karismatik menonjolkan keterlibatan jemaat, spontanitas, doa yang intens, musik, kesaksian, khotbah, respons doa, dan keterbukaan pada karunia Roh. Menurut 1 Korintus 12–14, karunia diberikan untuk membangun jemaat dan digunakan secara tertib.</w:t>
      </w:r>
      <w:r>
        <w:rPr>
          <w:rStyle w:val="FootnoteReference"/>
          <w:rFonts w:cs="Times New Roman"/>
        </w:rPr>
        <w:footnoteReference w:id="48"/>
      </w:r>
      <w:r>
        <w:rPr>
          <w:rFonts w:cs="Times New Roman"/>
        </w:rPr>
        <w:t xml:space="preserve"> Prinsip “segala sesuatu harus berlangsung dengan sopan dan teratur” (1 Kor. 14:40) penting dalam menilai teknologi: teknologi tidak boleh menggantikan ketertiban rohani, dan spontanitas tidak boleh menjadi alasan manipulasi.</w:t>
      </w:r>
      <w:r>
        <w:rPr>
          <w:rStyle w:val="FootnoteReference"/>
          <w:rFonts w:cs="Times New Roman"/>
        </w:rPr>
        <w:footnoteReference w:id="49"/>
      </w:r>
    </w:p>
    <w:p w:rsidR="00D53774" w:rsidRDefault="00D53774" w:rsidP="00D53774">
      <w:pPr>
        <w:rPr>
          <w:rFonts w:cs="Times New Roman"/>
          <w:b/>
          <w:bCs/>
        </w:rPr>
      </w:pPr>
      <w:r>
        <w:rPr>
          <w:rFonts w:cs="Times New Roman"/>
          <w:b/>
          <w:bCs/>
        </w:rPr>
        <w:t>6.2.4. Perspektif Simon Chan: Ibadah sebagai Praktik Teologi</w:t>
      </w:r>
    </w:p>
    <w:p w:rsidR="00D53774" w:rsidRDefault="00D53774" w:rsidP="00D53774">
      <w:pPr>
        <w:rPr>
          <w:rFonts w:cs="Times New Roman"/>
        </w:rPr>
      </w:pPr>
      <w:r>
        <w:rPr>
          <w:rFonts w:cs="Times New Roman"/>
        </w:rPr>
        <w:lastRenderedPageBreak/>
        <w:t>Bagi Simon Chan, ibadah adalah praktik komunitas yang menghidupkan keyakinan gereja tentang siapa Allah.</w:t>
      </w:r>
      <w:r>
        <w:rPr>
          <w:rStyle w:val="FootnoteReference"/>
          <w:rFonts w:cs="Times New Roman"/>
        </w:rPr>
        <w:footnoteReference w:id="50"/>
      </w:r>
      <w:r>
        <w:rPr>
          <w:rFonts w:cs="Times New Roman"/>
        </w:rPr>
        <w:t xml:space="preserve"> Maka ibadah dinilai dari bagaimana ia membentuk iman dan kebajikan jemaat, bukan dari suasananya. Teknologi baik bila membantu jemaat mengingat firman, berdoa, bersyukur, mengaku dosa, mengasihi, dan melayani. Bila hanya menciptakan suasana emosional tanpa pembentukan karakter, gereja perlu mengevaluasinya. Chan juga mengingatkan bahwa pujian yang terlalu menekankan suasana bergeser dari tujuan ibadah ke mood dan pengalaman psikologis.</w:t>
      </w:r>
    </w:p>
    <w:p w:rsidR="00D53774" w:rsidRDefault="00D53774" w:rsidP="00D53774">
      <w:pPr>
        <w:rPr>
          <w:rFonts w:cs="Times New Roman"/>
          <w:b/>
          <w:bCs/>
        </w:rPr>
      </w:pPr>
      <w:r>
        <w:rPr>
          <w:rFonts w:cs="Times New Roman"/>
          <w:b/>
          <w:bCs/>
        </w:rPr>
        <w:t>6.2.5. Perspektif Amos Yong: Roh Kudus dan Budaya</w:t>
      </w:r>
    </w:p>
    <w:p w:rsidR="00D53774" w:rsidRDefault="00D53774" w:rsidP="00D53774">
      <w:pPr>
        <w:rPr>
          <w:rFonts w:cs="Times New Roman"/>
        </w:rPr>
      </w:pPr>
      <w:r>
        <w:rPr>
          <w:rFonts w:cs="Times New Roman"/>
        </w:rPr>
        <w:t>Amos Yong menekankan pendekatan pneumatologis dalam berdialog dengan budaya dan ilmu pengetahuan.</w:t>
      </w:r>
      <w:r>
        <w:rPr>
          <w:rStyle w:val="FootnoteReference"/>
          <w:rFonts w:cs="Times New Roman"/>
        </w:rPr>
        <w:footnoteReference w:id="51"/>
      </w:r>
      <w:r>
        <w:rPr>
          <w:rFonts w:cs="Times New Roman"/>
        </w:rPr>
        <w:t xml:space="preserve"> Bagi gereja Pentakosta, karya Roh Kudus tidak perlu dipertentangkan dengan ilmu dan teknologi. Artinya gereja menerima teknologi secara kritis: terbuka pada manfaatnya, tetapi tetap menguji dampak teologis dan etisnya.</w:t>
      </w:r>
      <w:r>
        <w:rPr>
          <w:rStyle w:val="FootnoteReference"/>
          <w:rFonts w:cs="Times New Roman"/>
        </w:rPr>
        <w:footnoteReference w:id="52"/>
      </w:r>
    </w:p>
    <w:p w:rsidR="00D53774" w:rsidRDefault="00D53774" w:rsidP="00D53774">
      <w:pPr>
        <w:rPr>
          <w:rFonts w:cs="Times New Roman"/>
          <w:b/>
          <w:bCs/>
        </w:rPr>
      </w:pPr>
      <w:r>
        <w:rPr>
          <w:rFonts w:cs="Times New Roman"/>
          <w:b/>
          <w:bCs/>
        </w:rPr>
        <w:t>6.2.6. Perspektif Heidi Campbell: Digital Religion</w:t>
      </w:r>
    </w:p>
    <w:p w:rsidR="00D53774" w:rsidRDefault="00D53774" w:rsidP="00D53774">
      <w:pPr>
        <w:rPr>
          <w:rFonts w:cs="Times New Roman"/>
        </w:rPr>
      </w:pPr>
      <w:r>
        <w:rPr>
          <w:rFonts w:cs="Times New Roman"/>
        </w:rPr>
        <w:t>Heidi Campbell menjelaskan bahwa praktik keagamaan online dan offline semakin terhubung dan batasnya kabur.</w:t>
      </w:r>
      <w:r>
        <w:rPr>
          <w:rStyle w:val="FootnoteReference"/>
          <w:rFonts w:cs="Times New Roman"/>
        </w:rPr>
        <w:footnoteReference w:id="53"/>
      </w:r>
      <w:r>
        <w:rPr>
          <w:rFonts w:cs="Times New Roman"/>
        </w:rPr>
        <w:t xml:space="preserve"> Ruang digital bukan sekadar tempat memindahkan acara gereja, melainkan lingkungan dengan budaya dan aturannya sendiri. Gereja perlu bertanya bukan hanya bagaimana beribadah online, tetapi bagaimana menjadi komunitas Kristen dalam budaya digital.</w:t>
      </w:r>
    </w:p>
    <w:p w:rsidR="00D53774" w:rsidRDefault="00D53774" w:rsidP="00D53774">
      <w:pPr>
        <w:rPr>
          <w:rFonts w:cs="Times New Roman"/>
          <w:b/>
          <w:bCs/>
        </w:rPr>
      </w:pPr>
      <w:r>
        <w:rPr>
          <w:rFonts w:cs="Times New Roman"/>
          <w:b/>
          <w:bCs/>
        </w:rPr>
        <w:t>6.3. TEKNOLOGI DALAM PERKEMBANGAN IBADAH PENTAKOSTA-KARISMATIK</w:t>
      </w:r>
    </w:p>
    <w:p w:rsidR="00D53774" w:rsidRDefault="00D53774" w:rsidP="00D53774">
      <w:pPr>
        <w:rPr>
          <w:rFonts w:cs="Times New Roman"/>
        </w:rPr>
      </w:pPr>
      <w:r>
        <w:rPr>
          <w:rFonts w:cs="Times New Roman"/>
          <w:b/>
          <w:bCs/>
        </w:rPr>
        <w:t>6.3.1. Dari Radio, Televisi, hingga Streaming</w:t>
      </w:r>
    </w:p>
    <w:p w:rsidR="00D53774" w:rsidRDefault="00D53774" w:rsidP="00D53774">
      <w:pPr>
        <w:rPr>
          <w:rFonts w:cs="Times New Roman"/>
        </w:rPr>
      </w:pPr>
      <w:r>
        <w:rPr>
          <w:rFonts w:cs="Times New Roman"/>
        </w:rPr>
        <w:t xml:space="preserve">Gerakan Pentakosta sudah lama memakai radio dan televisi untuk penginjilan, khotbah, kesaksian, dan musik. Togarasei meneliti gereja Pentakosta di Botswana </w:t>
      </w:r>
      <w:r>
        <w:rPr>
          <w:rFonts w:cs="Times New Roman"/>
        </w:rPr>
        <w:lastRenderedPageBreak/>
        <w:t>dan Zimbabwe yang mengadopsi teknologi media dalam ibadah dan pelayanan.</w:t>
      </w:r>
      <w:r>
        <w:rPr>
          <w:rStyle w:val="FootnoteReference"/>
          <w:rFonts w:cs="Times New Roman"/>
        </w:rPr>
        <w:footnoteReference w:id="54"/>
      </w:r>
      <w:r>
        <w:rPr>
          <w:rFonts w:cs="Times New Roman"/>
        </w:rPr>
        <w:t xml:space="preserve"> Jadi hubungan Pentakostalisme dengan media sudah ada sebelum era media sosial.</w:t>
      </w:r>
    </w:p>
    <w:p w:rsidR="00D53774" w:rsidRDefault="00D53774" w:rsidP="00D53774">
      <w:pPr>
        <w:rPr>
          <w:rFonts w:cs="Times New Roman"/>
        </w:rPr>
      </w:pPr>
      <w:r>
        <w:rPr>
          <w:rFonts w:cs="Times New Roman"/>
        </w:rPr>
        <w:t>Perubahan utama era digital adalah interaktivitas. Radio dan televisi menyampaikan pesan satu arah; media sosial dan streaming memungkinkan jemaat berkomentar, berbagi, mengirim doa, dan memberi persembahan. Gereja beralih dari komunikasi satu arah ke ekosistem jaringan.</w:t>
      </w:r>
    </w:p>
    <w:p w:rsidR="00D53774" w:rsidRDefault="00D53774" w:rsidP="00D53774">
      <w:pPr>
        <w:rPr>
          <w:rFonts w:cs="Times New Roman"/>
          <w:b/>
          <w:bCs/>
        </w:rPr>
      </w:pPr>
      <w:r>
        <w:rPr>
          <w:rFonts w:cs="Times New Roman"/>
          <w:b/>
          <w:bCs/>
        </w:rPr>
        <w:t>6.3.2. Teknologi dalam Ibadah Masa Pandemi</w:t>
      </w:r>
    </w:p>
    <w:p w:rsidR="00D53774" w:rsidRDefault="00D53774" w:rsidP="00D53774">
      <w:pPr>
        <w:rPr>
          <w:rFonts w:cs="Times New Roman"/>
        </w:rPr>
      </w:pPr>
      <w:r>
        <w:rPr>
          <w:rFonts w:cs="Times New Roman"/>
        </w:rPr>
        <w:t>Pandemi COVID-19 mempercepat ibadah daring dan memaksa gereja memikirkan ulang cara berkumpul, berdoa, berkhotbah, dan menggembalakan. Setelah pembatasan berakhir, sebagian praktik digital bertahan dan gereja memasuki model hibrida: sebagian jemaat hadir fisik, sebagian daring.</w:t>
      </w:r>
    </w:p>
    <w:p w:rsidR="00D53774" w:rsidRDefault="00D53774" w:rsidP="00D53774">
      <w:pPr>
        <w:rPr>
          <w:rFonts w:cs="Times New Roman"/>
        </w:rPr>
      </w:pPr>
      <w:r>
        <w:rPr>
          <w:rFonts w:cs="Times New Roman"/>
        </w:rPr>
        <w:t>Muncul pertanyaan baru: apakah penonton online adalah jemaat, apakah ibadah lewat layar sama dengan hadir fisik, bagaimana sakramen dilakukan, dan bagaimana penggembalaan berjalan. Pertanyaan ini menyentuh pengertian gereja, bukan hanya soal teknis.</w:t>
      </w:r>
    </w:p>
    <w:p w:rsidR="00D53774" w:rsidRDefault="00D53774" w:rsidP="00D53774">
      <w:pPr>
        <w:rPr>
          <w:rFonts w:cs="Times New Roman"/>
          <w:b/>
          <w:bCs/>
        </w:rPr>
      </w:pPr>
      <w:r>
        <w:rPr>
          <w:rFonts w:cs="Times New Roman"/>
          <w:b/>
          <w:bCs/>
        </w:rPr>
        <w:t>6.3.3. Digital Pentecostalism di Indonesia</w:t>
      </w:r>
    </w:p>
    <w:p w:rsidR="00D53774" w:rsidRDefault="00D53774" w:rsidP="00D53774">
      <w:pPr>
        <w:rPr>
          <w:rFonts w:cs="Times New Roman"/>
        </w:rPr>
      </w:pPr>
      <w:r>
        <w:rPr>
          <w:rFonts w:cs="Times New Roman"/>
        </w:rPr>
        <w:t>Lontoh dan Wibowo meneliti Digital Pentecostalism di Indonesia pada 2020–2024. Hasilnya: ibadah, komunitas virtual, dan media sosial bertransformasi, dan unsur Pentakosta seperti nubuat, bahasa roh, dan pelayanan kesembuhan dapat dibawa ke ruang digital. Namun ada persoalan keaslian, keintiman, dan keterlibatan rohani.</w:t>
      </w:r>
    </w:p>
    <w:p w:rsidR="00D53774" w:rsidRDefault="00D53774" w:rsidP="00D53774">
      <w:pPr>
        <w:rPr>
          <w:rFonts w:cs="Times New Roman"/>
        </w:rPr>
      </w:pPr>
      <w:r>
        <w:rPr>
          <w:rFonts w:cs="Times New Roman"/>
        </w:rPr>
        <w:t>Jadi teknologi tidak otomatis menghilangkan identitas Pentakosta; identitas itu dapat beradaptasi, tetapi adaptasi harus diuji. Tidak semua yang bisa direkam kamera layak ditayangkan, dan tidak semua pengalaman rohani cocok menjadi konten publik. Di sini dibutuhkan kebijaksanaan pastoral dan etika digital.</w:t>
      </w:r>
    </w:p>
    <w:p w:rsidR="00D53774" w:rsidRDefault="00D53774" w:rsidP="00D53774">
      <w:pPr>
        <w:rPr>
          <w:rFonts w:cs="Times New Roman"/>
          <w:b/>
          <w:bCs/>
        </w:rPr>
      </w:pPr>
      <w:r>
        <w:rPr>
          <w:rFonts w:cs="Times New Roman"/>
          <w:b/>
          <w:bCs/>
        </w:rPr>
        <w:t>6.3.4. Teknologi dan Musik Penyembahan</w:t>
      </w:r>
    </w:p>
    <w:p w:rsidR="00D53774" w:rsidRDefault="00D53774" w:rsidP="00D53774">
      <w:pPr>
        <w:rPr>
          <w:rFonts w:cs="Times New Roman"/>
        </w:rPr>
      </w:pPr>
      <w:r>
        <w:rPr>
          <w:rFonts w:cs="Times New Roman"/>
        </w:rPr>
        <w:t>Musik adalah wilayah paling kuat dalam ibadah Pentakosta-Karismatik. Sound system, backing track, click track, in-ear monitor, layar lirik, dan lighting membuat ibadah lebih teratur dan membantu jemaat bernyanyi bersama.</w:t>
      </w:r>
    </w:p>
    <w:p w:rsidR="00D53774" w:rsidRDefault="00D53774" w:rsidP="00D53774">
      <w:pPr>
        <w:rPr>
          <w:rFonts w:cs="Times New Roman"/>
        </w:rPr>
      </w:pPr>
      <w:r>
        <w:rPr>
          <w:rFonts w:cs="Times New Roman"/>
        </w:rPr>
        <w:lastRenderedPageBreak/>
        <w:t>Namun teknologi juga dapat mengubah ibadah menjadi pertunjukan: jemaat menjadi penonton, tim musik menjadi performer. Musik adalah ruang perjumpaan tradisi, budaya populer, industri musik, dan teologi. Gereja perlu membedakan musik yang berkualitas dari budaya hiburan yang menjadikan ibadah seperti konser.</w:t>
      </w:r>
    </w:p>
    <w:p w:rsidR="00D53774" w:rsidRDefault="00D53774" w:rsidP="00D53774">
      <w:pPr>
        <w:rPr>
          <w:rFonts w:cs="Times New Roman"/>
          <w:b/>
          <w:bCs/>
        </w:rPr>
      </w:pPr>
      <w:r>
        <w:rPr>
          <w:rFonts w:cs="Times New Roman"/>
          <w:b/>
          <w:bCs/>
        </w:rPr>
        <w:t>6.4. ISU-ISU KRITIS TEKNOLOGI DALAM IBADAH</w:t>
      </w:r>
    </w:p>
    <w:p w:rsidR="00D53774" w:rsidRDefault="00D53774" w:rsidP="00D53774">
      <w:pPr>
        <w:rPr>
          <w:rFonts w:cs="Times New Roman"/>
        </w:rPr>
      </w:pPr>
      <w:r>
        <w:rPr>
          <w:rFonts w:cs="Times New Roman"/>
          <w:b/>
          <w:bCs/>
        </w:rPr>
        <w:t>6.4.1. Teknologi sebagai Alat atau Pusat Ibadah</w:t>
      </w:r>
    </w:p>
    <w:p w:rsidR="00D53774" w:rsidRDefault="00D53774" w:rsidP="00D53774">
      <w:pPr>
        <w:rPr>
          <w:rFonts w:cs="Times New Roman"/>
        </w:rPr>
      </w:pPr>
      <w:r>
        <w:rPr>
          <w:rFonts w:cs="Times New Roman"/>
        </w:rPr>
        <w:t>Teknologi pada dasarnya adalah alat. Masalah muncul ketika keberhasilan ibadah diukur dari produksi: layar besar, lighting menarik, suara keras, banyak kamera. Kualitas teknis tidak sama dengan kualitas rohani.</w:t>
      </w:r>
    </w:p>
    <w:p w:rsidR="00D53774" w:rsidRDefault="00D53774" w:rsidP="00D53774">
      <w:pPr>
        <w:rPr>
          <w:rFonts w:cs="Times New Roman"/>
        </w:rPr>
      </w:pPr>
      <w:r>
        <w:rPr>
          <w:rFonts w:cs="Times New Roman"/>
        </w:rPr>
        <w:t>Gereja tidak harus memakai teknologi seadanya; pelayanan memang perlu dilakukan dengan baik. Yang menentukan adalah orientasi: bila teknologi membantu jemaat berpartisipasi, ia melayani ibadah; bila jemaat datang terutama untuk menonton, teknologi mulai menguasai ibadah.</w:t>
      </w:r>
    </w:p>
    <w:p w:rsidR="00D53774" w:rsidRDefault="00D53774" w:rsidP="00D53774">
      <w:pPr>
        <w:rPr>
          <w:rFonts w:cs="Times New Roman"/>
          <w:b/>
          <w:bCs/>
        </w:rPr>
      </w:pPr>
      <w:r>
        <w:rPr>
          <w:rFonts w:cs="Times New Roman"/>
          <w:b/>
          <w:bCs/>
        </w:rPr>
        <w:t>6.4.2. Distraksi dan Budaya Layar</w:t>
      </w:r>
    </w:p>
    <w:p w:rsidR="00D53774" w:rsidRDefault="00D53774" w:rsidP="00D53774">
      <w:pPr>
        <w:rPr>
          <w:rFonts w:cs="Times New Roman"/>
        </w:rPr>
      </w:pPr>
      <w:r>
        <w:rPr>
          <w:rFonts w:cs="Times New Roman"/>
        </w:rPr>
        <w:t>Layar membantu jemaat mengikuti lirik, ayat, dan informasi, tetapi juga mengganggu konsentrasi. Notifikasi, komentar, kamera, dan visual dapat membuat ibadah menjadi konsumsi media.</w:t>
      </w:r>
    </w:p>
    <w:p w:rsidR="00D53774" w:rsidRDefault="00D53774" w:rsidP="00D53774">
      <w:pPr>
        <w:rPr>
          <w:rFonts w:cs="Times New Roman"/>
        </w:rPr>
      </w:pPr>
      <w:r>
        <w:rPr>
          <w:rFonts w:cs="Times New Roman"/>
        </w:rPr>
        <w:t>Trammell menunjukkan bahwa teknologi visual dalam ibadah tidak netral, karena medium memengaruhi cara pesan diterima.</w:t>
      </w:r>
      <w:r>
        <w:rPr>
          <w:rStyle w:val="FootnoteReference"/>
          <w:rFonts w:cs="Times New Roman"/>
        </w:rPr>
        <w:footnoteReference w:id="55"/>
      </w:r>
      <w:r>
        <w:rPr>
          <w:rFonts w:cs="Times New Roman"/>
        </w:rPr>
        <w:t xml:space="preserve"> Gereja perlu menilai kapan layar membantu dan kapan mengalihkan perhatian; tidak semua bagian ibadah membutuhkan visual yang bergerak terus.</w:t>
      </w:r>
    </w:p>
    <w:p w:rsidR="00D53774" w:rsidRDefault="00D53774" w:rsidP="00D53774">
      <w:pPr>
        <w:rPr>
          <w:rFonts w:cs="Times New Roman"/>
          <w:b/>
          <w:bCs/>
        </w:rPr>
      </w:pPr>
      <w:r>
        <w:rPr>
          <w:rFonts w:cs="Times New Roman"/>
          <w:b/>
          <w:bCs/>
        </w:rPr>
        <w:t>6.4.3. Ibadah Online dan Keaslian Komunitas</w:t>
      </w:r>
    </w:p>
    <w:p w:rsidR="00D53774" w:rsidRDefault="00D53774" w:rsidP="00D53774">
      <w:pPr>
        <w:rPr>
          <w:rFonts w:cs="Times New Roman"/>
        </w:rPr>
      </w:pPr>
      <w:r>
        <w:rPr>
          <w:rFonts w:cs="Times New Roman"/>
        </w:rPr>
        <w:t>Ibadah online memberi akses bagi orang sakit, lansia, pekerja yang jauh, dan diaspora. Ini manfaat pastoral yang nyata. Namun komunitas Kristen bukan sekadar orang yang menerima konten yang sama; gereja juga membutuhkan kehadiran, pelayanan bersama, pengakuan iman, pembentukan karakter, dan tanggung jawab satu sama lain.</w:t>
      </w:r>
    </w:p>
    <w:p w:rsidR="00D53774" w:rsidRDefault="00D53774" w:rsidP="00D53774">
      <w:pPr>
        <w:rPr>
          <w:rFonts w:cs="Times New Roman"/>
        </w:rPr>
      </w:pPr>
      <w:r>
        <w:rPr>
          <w:rFonts w:cs="Times New Roman"/>
        </w:rPr>
        <w:t xml:space="preserve">Karena itu ibadah online dipahami sebagai salah satu bentuk pelayanan, bukan pengganti total persekutuan fisik. Campbell menekankan bahwa ruang online dan </w:t>
      </w:r>
      <w:r>
        <w:rPr>
          <w:rFonts w:cs="Times New Roman"/>
        </w:rPr>
        <w:lastRenderedPageBreak/>
        <w:t>offline bercampur, sehingga gereja perlu membangun relasi yang menghubungkan keduanya.</w:t>
      </w:r>
      <w:r>
        <w:rPr>
          <w:rStyle w:val="FootnoteReference"/>
          <w:rFonts w:cs="Times New Roman"/>
        </w:rPr>
        <w:footnoteReference w:id="56"/>
      </w:r>
    </w:p>
    <w:p w:rsidR="00D53774" w:rsidRDefault="00D53774" w:rsidP="00D53774">
      <w:pPr>
        <w:rPr>
          <w:rFonts w:cs="Times New Roman"/>
          <w:b/>
          <w:bCs/>
        </w:rPr>
      </w:pPr>
      <w:r>
        <w:rPr>
          <w:rFonts w:cs="Times New Roman"/>
          <w:b/>
          <w:bCs/>
        </w:rPr>
        <w:t>6.4.4. Risiko Performer Mentality</w:t>
      </w:r>
    </w:p>
    <w:p w:rsidR="00D53774" w:rsidRDefault="00D53774" w:rsidP="00D53774">
      <w:pPr>
        <w:rPr>
          <w:rFonts w:cs="Times New Roman"/>
        </w:rPr>
      </w:pPr>
      <w:r>
        <w:rPr>
          <w:rFonts w:cs="Times New Roman"/>
        </w:rPr>
        <w:t>Dalam tradisi Pentakosta-Karismatik, worship leader, penyanyi, pengkhotbah, dan musisi berpengaruh besar, dan kamera serta media sosial memperbesarnya. Pelayan dapat tanpa sadar membangun personal brand, dan jumlah pengikut, views, serta likes menjadi ukuran keberhasilan.</w:t>
      </w:r>
    </w:p>
    <w:p w:rsidR="00D53774" w:rsidRDefault="00D53774" w:rsidP="00D53774">
      <w:pPr>
        <w:rPr>
          <w:rFonts w:cs="Times New Roman"/>
        </w:rPr>
      </w:pPr>
      <w:r>
        <w:rPr>
          <w:rFonts w:cs="Times New Roman"/>
        </w:rPr>
        <w:t>Bahayanya adalah narsisme rohani: dari bertanya “Apakah Kristus dimuliakan?” menjadi “Apakah saya terlihat bagus?” Pelayan boleh bermedia sosial, tetapi perlu disiplin rohani dan akuntabilitas.</w:t>
      </w:r>
    </w:p>
    <w:p w:rsidR="00D53774" w:rsidRDefault="00D53774" w:rsidP="00D53774">
      <w:pPr>
        <w:rPr>
          <w:rFonts w:cs="Times New Roman"/>
          <w:b/>
          <w:bCs/>
        </w:rPr>
      </w:pPr>
    </w:p>
    <w:p w:rsidR="00D53774" w:rsidRDefault="00D53774" w:rsidP="00D53774">
      <w:pPr>
        <w:rPr>
          <w:rFonts w:cs="Times New Roman"/>
          <w:b/>
          <w:bCs/>
        </w:rPr>
      </w:pPr>
    </w:p>
    <w:p w:rsidR="00D53774" w:rsidRDefault="00D53774" w:rsidP="00D53774">
      <w:pPr>
        <w:rPr>
          <w:rFonts w:cs="Times New Roman"/>
          <w:b/>
          <w:bCs/>
        </w:rPr>
      </w:pPr>
      <w:r>
        <w:rPr>
          <w:rFonts w:cs="Times New Roman"/>
          <w:b/>
          <w:bCs/>
        </w:rPr>
        <w:t>6.4.5. Manipulasi Emosi melalui Teknologi</w:t>
      </w:r>
    </w:p>
    <w:p w:rsidR="00D53774" w:rsidRDefault="00D53774" w:rsidP="00D53774">
      <w:pPr>
        <w:rPr>
          <w:rFonts w:cs="Times New Roman"/>
        </w:rPr>
      </w:pPr>
      <w:r>
        <w:rPr>
          <w:rFonts w:cs="Times New Roman"/>
        </w:rPr>
        <w:t>Lampu, musik, volume, pengulangan lagu, editing, dan close-up kamera memengaruhi emosi. Emosi tidak salah dalam ibadah; Mazmur menunjukkan iman memiliki dimensi emosional. Namun gereja harus membedakan memberi ruang bagi jemaat merespons Allah dari memanipulasi respons itu.</w:t>
      </w:r>
    </w:p>
    <w:p w:rsidR="00D53774" w:rsidRDefault="00D53774" w:rsidP="00D53774">
      <w:pPr>
        <w:rPr>
          <w:rFonts w:cs="Times New Roman"/>
        </w:rPr>
      </w:pPr>
      <w:r>
        <w:rPr>
          <w:rFonts w:cs="Times New Roman"/>
        </w:rPr>
        <w:t>Menurut Simon Chan, ibadah harus membentuk iman dan kebajikan, bukan hanya mood. Pengalaman emosional perlu dihubungkan dengan kebenaran, pertobatan, kasih, dan kehidupan sehari-hari.</w:t>
      </w:r>
    </w:p>
    <w:p w:rsidR="00D53774" w:rsidRDefault="00D53774" w:rsidP="00D53774">
      <w:pPr>
        <w:rPr>
          <w:rFonts w:cs="Times New Roman"/>
          <w:b/>
          <w:bCs/>
        </w:rPr>
      </w:pPr>
      <w:r>
        <w:rPr>
          <w:rFonts w:cs="Times New Roman"/>
          <w:b/>
          <w:bCs/>
        </w:rPr>
        <w:t>6.4.6. Algoritma dan Pembentukan Selera Rohani</w:t>
      </w:r>
    </w:p>
    <w:p w:rsidR="00D53774" w:rsidRDefault="00D53774" w:rsidP="00D53774">
      <w:pPr>
        <w:rPr>
          <w:rFonts w:cs="Times New Roman"/>
        </w:rPr>
      </w:pPr>
      <w:r>
        <w:rPr>
          <w:rFonts w:cs="Times New Roman"/>
        </w:rPr>
        <w:t>Algoritma media sosial memilih konten yang membuat orang terus menonton, berbeda dengan logika pemuridan. Konten yang paling menarik belum tentu paling sehat secara teologis, sehingga khotbah yang sensasional atau menjanjikan mukjizat cepat lebih mudah mendapat perhatian daripada pengajaran yang mendalam.</w:t>
      </w:r>
    </w:p>
    <w:p w:rsidR="00D53774" w:rsidRDefault="00D53774" w:rsidP="00D53774">
      <w:pPr>
        <w:rPr>
          <w:rFonts w:cs="Times New Roman"/>
        </w:rPr>
      </w:pPr>
      <w:r>
        <w:rPr>
          <w:rFonts w:cs="Times New Roman"/>
        </w:rPr>
        <w:t>Gereja perlu mengajarkan literasi digital: viral tidak sama dengan benar, banyak views tidak sama dengan buah rohani, dan popularitas bukan ukuran urapan.</w:t>
      </w:r>
    </w:p>
    <w:p w:rsidR="00D53774" w:rsidRDefault="00D53774" w:rsidP="00D53774">
      <w:pPr>
        <w:rPr>
          <w:rFonts w:cs="Times New Roman"/>
          <w:b/>
          <w:bCs/>
        </w:rPr>
      </w:pPr>
      <w:r>
        <w:rPr>
          <w:rFonts w:cs="Times New Roman"/>
          <w:b/>
          <w:bCs/>
        </w:rPr>
        <w:t>6.4.7. AI dalam Khotbah, Musik, dan Pelayanan</w:t>
      </w:r>
    </w:p>
    <w:p w:rsidR="00D53774" w:rsidRDefault="00D53774" w:rsidP="00D53774">
      <w:pPr>
        <w:rPr>
          <w:rFonts w:cs="Times New Roman"/>
        </w:rPr>
      </w:pPr>
      <w:r>
        <w:rPr>
          <w:rFonts w:cs="Times New Roman"/>
        </w:rPr>
        <w:lastRenderedPageBreak/>
        <w:t>AI dapat membantu mencari ide, menyusun struktur, menerjemahkan, membuat gambar dan musik, serta mengelola administrasi. Namun ia menimbulkan masalah kejujuran akademik, kepemilikan karya, akurasi teologi, privasi, dan ketergantungan.</w:t>
      </w:r>
    </w:p>
    <w:p w:rsidR="00D53774" w:rsidRDefault="00D53774" w:rsidP="00D53774">
      <w:pPr>
        <w:rPr>
          <w:rFonts w:cs="Times New Roman"/>
        </w:rPr>
      </w:pPr>
      <w:r>
        <w:rPr>
          <w:rFonts w:cs="Times New Roman"/>
        </w:rPr>
        <w:t>Pendeta tidak boleh menyerahkan pergumulan dengan teks Alkitab dan jemaat kepada AI. AI hanya alat bantu; tanggung jawab pengajaran tetap pada manusia, dan setiap keluaran AI perlu diperiksa dengan Kitab Suci, konteks, teologi, dan pertimbangan pastoral.</w:t>
      </w:r>
    </w:p>
    <w:p w:rsidR="00D53774" w:rsidRDefault="00D53774" w:rsidP="00D53774">
      <w:pPr>
        <w:rPr>
          <w:rFonts w:cs="Times New Roman"/>
          <w:b/>
          <w:bCs/>
        </w:rPr>
      </w:pPr>
      <w:r>
        <w:rPr>
          <w:rFonts w:cs="Times New Roman"/>
          <w:b/>
          <w:bCs/>
        </w:rPr>
        <w:t>6.4.8. Ketimpangan Digital</w:t>
      </w:r>
    </w:p>
    <w:p w:rsidR="00D53774" w:rsidRDefault="00D53774" w:rsidP="00D53774">
      <w:pPr>
        <w:rPr>
          <w:rFonts w:cs="Times New Roman"/>
        </w:rPr>
      </w:pPr>
      <w:r>
        <w:rPr>
          <w:rFonts w:cs="Times New Roman"/>
        </w:rPr>
        <w:t>Tidak semua jemaat memiliki perangkat, internet, kemampuan digital, atau lingkungan rumah yang mendukung ibadah daring. Jika pelayanan terlalu cepat dipindahkan ke digital, sebagian jemaat tertinggal, sebagaimana disoroti Mudau dan Tshifhumulo. Teknologi harus membuka akses, bukan membuat kelompok tertentu merasa tidak dibutuhkan.</w:t>
      </w:r>
    </w:p>
    <w:p w:rsidR="00D53774" w:rsidRDefault="00D53774" w:rsidP="00D53774">
      <w:pPr>
        <w:rPr>
          <w:rFonts w:cs="Times New Roman"/>
        </w:rPr>
      </w:pPr>
      <w:r>
        <w:rPr>
          <w:rFonts w:cs="Times New Roman"/>
        </w:rPr>
        <w:t>Karena itu gereja harus mempertahankan prinsip inklusivitas. Teknologi harus membuka akses, bukan membuat kelompok tertentu merasa tidak dibutuhkan.</w:t>
      </w:r>
    </w:p>
    <w:p w:rsidR="00D53774" w:rsidRDefault="00D53774" w:rsidP="00D53774">
      <w:pPr>
        <w:rPr>
          <w:rFonts w:cs="Times New Roman"/>
          <w:b/>
          <w:bCs/>
        </w:rPr>
      </w:pPr>
      <w:r>
        <w:rPr>
          <w:rFonts w:cs="Times New Roman"/>
          <w:b/>
          <w:bCs/>
        </w:rPr>
        <w:t>6.4.9. Privasi, Rekaman, dan Kesaksian</w:t>
      </w:r>
    </w:p>
    <w:p w:rsidR="00D53774" w:rsidRDefault="00D53774" w:rsidP="00D53774">
      <w:pPr>
        <w:rPr>
          <w:rFonts w:cs="Times New Roman"/>
        </w:rPr>
      </w:pPr>
      <w:r>
        <w:rPr>
          <w:rFonts w:cs="Times New Roman"/>
        </w:rPr>
        <w:t>Ibadah Pentakosta sering memuat kesaksian pribadi, doa kesembuhan, dan pengakuan pergumulan. Bila semuanya direkam dan disiarkan, informasi pribadi dapat tersebar tanpa kendali. Gereja harus meminta persetujuan sebelum merekam atau menampilkan seseorang, terutama anak-anak, orang dalam krisis, dan penerima pelayanan pastoral.</w:t>
      </w:r>
    </w:p>
    <w:p w:rsidR="00D53774" w:rsidRDefault="00D53774" w:rsidP="00D53774">
      <w:pPr>
        <w:rPr>
          <w:rFonts w:cs="Times New Roman"/>
        </w:rPr>
      </w:pPr>
      <w:r>
        <w:rPr>
          <w:rFonts w:cs="Times New Roman"/>
        </w:rPr>
        <w:t>Tidak semua momen kudus harus menjadi konten. Kesaksian yang membangun iman berbeda dari eksploitasi pengalaman pribadi demi views.</w:t>
      </w:r>
    </w:p>
    <w:p w:rsidR="00D53774" w:rsidRDefault="00D53774" w:rsidP="00D53774">
      <w:pPr>
        <w:rPr>
          <w:rFonts w:cs="Times New Roman"/>
          <w:b/>
          <w:bCs/>
        </w:rPr>
      </w:pPr>
      <w:r>
        <w:rPr>
          <w:rFonts w:cs="Times New Roman"/>
          <w:b/>
          <w:bCs/>
        </w:rPr>
        <w:t>6.4.10. Teologi Kemakmuran dan Logika Konsumsi Digital</w:t>
      </w:r>
    </w:p>
    <w:p w:rsidR="00D53774" w:rsidRDefault="00D53774" w:rsidP="00D53774">
      <w:pPr>
        <w:rPr>
          <w:rFonts w:cs="Times New Roman"/>
        </w:rPr>
      </w:pPr>
      <w:r>
        <w:rPr>
          <w:rFonts w:cs="Times New Roman"/>
        </w:rPr>
        <w:t>Media digital dapat memperkuat pesan bahwa iman adalah sarana untuk sukses, kaya, sehat, atau populer, dan estetika gereja yang mewah dapat memperkuat logika konsumsi. Gereja perlu kembali kepada Injil yang mencakup salib, pengorbanan, kekudusan, kasih, pelayanan, dan pengharapan Kerajaan Allah.</w:t>
      </w:r>
    </w:p>
    <w:p w:rsidR="00D53774" w:rsidRDefault="00D53774" w:rsidP="00D53774">
      <w:pPr>
        <w:rPr>
          <w:rFonts w:cs="Times New Roman"/>
        </w:rPr>
      </w:pPr>
      <w:r>
        <w:rPr>
          <w:rFonts w:cs="Times New Roman"/>
        </w:rPr>
        <w:t>Fasilitas yang baik tidak perlu ditolak. Yang ditolak adalah anggapan bahwa kualitas fasilitas mengukur berkat Allah, atau bahwa jemaat dinilai dari kemampuan ekonominya.</w:t>
      </w:r>
    </w:p>
    <w:p w:rsidR="00D53774" w:rsidRDefault="00D53774" w:rsidP="00D53774">
      <w:pPr>
        <w:rPr>
          <w:rFonts w:cs="Times New Roman"/>
          <w:b/>
          <w:bCs/>
        </w:rPr>
      </w:pPr>
      <w:r>
        <w:rPr>
          <w:rFonts w:cs="Times New Roman"/>
          <w:b/>
          <w:bCs/>
        </w:rPr>
        <w:lastRenderedPageBreak/>
        <w:t>6.4.11. Otoritas Roh Kudus dan Spontanitas</w:t>
      </w:r>
    </w:p>
    <w:p w:rsidR="00D53774" w:rsidRDefault="00D53774" w:rsidP="00D53774">
      <w:pPr>
        <w:rPr>
          <w:rFonts w:cs="Times New Roman"/>
        </w:rPr>
      </w:pPr>
      <w:r>
        <w:rPr>
          <w:rFonts w:cs="Times New Roman"/>
        </w:rPr>
        <w:t>Kekuatan ibadah Pentakosta adalah keterbukaan pada karya Roh Kudus, tetapi teknologi membutuhkan perencanaan (rundown, kamera, slide, lighting, siaran). Ini menimbulkan ketegangan antara spontanitas dan produksi.</w:t>
      </w:r>
    </w:p>
    <w:p w:rsidR="00D53774" w:rsidRDefault="00D53774" w:rsidP="00D53774">
      <w:pPr>
        <w:rPr>
          <w:rFonts w:cs="Times New Roman"/>
        </w:rPr>
      </w:pPr>
      <w:r>
        <w:rPr>
          <w:rFonts w:cs="Times New Roman"/>
        </w:rPr>
        <w:t>Solusinya bukan menolak perencanaan, melainkan merencanakan dengan baik sambil memberi ruang bagi karya Roh. Perencanaan melayani, bukan menguasai; 1 Korintus 14 menegaskan karunia Roh berjalan dalam kasih, pembangunan jemaat, dan ketertiban.</w:t>
      </w:r>
    </w:p>
    <w:p w:rsidR="00D53774" w:rsidRDefault="00D53774" w:rsidP="00D53774">
      <w:pPr>
        <w:rPr>
          <w:rFonts w:cs="Times New Roman"/>
          <w:b/>
          <w:bCs/>
        </w:rPr>
      </w:pPr>
      <w:r>
        <w:rPr>
          <w:rFonts w:cs="Times New Roman"/>
          <w:b/>
          <w:bCs/>
        </w:rPr>
        <w:t>6.4.12. Perubahan Otoritas dari Gembala ke Influencer</w:t>
      </w:r>
    </w:p>
    <w:p w:rsidR="00D53774" w:rsidRDefault="00D53774" w:rsidP="00D53774">
      <w:pPr>
        <w:rPr>
          <w:rFonts w:cs="Times New Roman"/>
        </w:rPr>
      </w:pPr>
      <w:r>
        <w:rPr>
          <w:rFonts w:cs="Times New Roman"/>
        </w:rPr>
        <w:t>Media sosial dapat membuat seseorang sangat berpengaruh tanpa akuntabilitas gereja. Jemaat bisa lebih mengenal pengkhotbah internet daripada gembala lokal. Ini memperluas akses pengajaran, tetapi berisiko membuat jemaat berpindah-pindah secara digital tanpa akar komunitas.</w:t>
      </w:r>
    </w:p>
    <w:p w:rsidR="00D53774" w:rsidRDefault="00D53774" w:rsidP="00D53774">
      <w:pPr>
        <w:rPr>
          <w:rFonts w:cs="Times New Roman"/>
        </w:rPr>
      </w:pPr>
      <w:r>
        <w:rPr>
          <w:rFonts w:cs="Times New Roman"/>
        </w:rPr>
        <w:t>Jemaat perlu belajar membedakan: bukan siapa yang terkenal, melainkan apakah pengajaran itu setia pada Kitab Suci, berbuah Roh, mengarah kepada Kristus, dan membangun tubuh Kristus.</w:t>
      </w:r>
    </w:p>
    <w:p w:rsidR="00D53774" w:rsidRDefault="00D53774" w:rsidP="00D53774">
      <w:pPr>
        <w:rPr>
          <w:rFonts w:cs="Times New Roman"/>
          <w:b/>
          <w:bCs/>
        </w:rPr>
      </w:pPr>
      <w:r>
        <w:rPr>
          <w:rFonts w:cs="Times New Roman"/>
          <w:b/>
          <w:bCs/>
        </w:rPr>
        <w:t>6.4.13. Sakramen dan Batas Ibadah Virtual</w:t>
      </w:r>
    </w:p>
    <w:p w:rsidR="00D53774" w:rsidRDefault="00D53774" w:rsidP="00D53774">
      <w:pPr>
        <w:rPr>
          <w:rFonts w:cs="Times New Roman"/>
        </w:rPr>
      </w:pPr>
      <w:r>
        <w:rPr>
          <w:rFonts w:cs="Times New Roman"/>
        </w:rPr>
        <w:t>Baptisan dan Perjamuan Kudus melibatkan tubuh dan komunitas secara langsung. Karena itu tidak semua unsur ibadah dapat dipindahkan ke layar begitu saja.</w:t>
      </w:r>
    </w:p>
    <w:p w:rsidR="00D53774" w:rsidRDefault="00D53774" w:rsidP="00D53774">
      <w:pPr>
        <w:rPr>
          <w:rFonts w:cs="Times New Roman"/>
        </w:rPr>
      </w:pPr>
      <w:r>
        <w:rPr>
          <w:rFonts w:cs="Times New Roman"/>
        </w:rPr>
        <w:t>Bolehkah keduanya disebut ritual? Secara deskriptif boleh: dalam kajian agama, ritual adalah tindakan simbolik yang diulang oleh komunitas, dan keduanya memenuhi pengertian itu. Namun gereja Pentakosta-Karismatik umumnya memilih istilah ordinansi atau sakramen, karena “ritual” mudah dipahami sebagai rutinitas kosong atau tindakan yang bekerja otomatis. Secara teologis keduanya lebih dari ritual: berdasar pada perintah Kristus (Mat. 28:19; Luk. 22:19), dilakukan dalam persekutuan jemaat, dan menjadi pengakuan iman serta peringatan akan karya Kristus. Istilah ritual boleh dipakai bila maknanya dijelaskan.</w:t>
      </w:r>
    </w:p>
    <w:p w:rsidR="00D53774" w:rsidRDefault="00D53774" w:rsidP="00D53774">
      <w:pPr>
        <w:rPr>
          <w:rFonts w:cs="Times New Roman"/>
        </w:rPr>
      </w:pPr>
      <w:r>
        <w:rPr>
          <w:rFonts w:cs="Times New Roman"/>
        </w:rPr>
        <w:t>Gereja perlu menetapkan kebijakan teologis yang jelas sesuai denominasinya. Ibadah digital dapat menjadi sarana pengajaran, doa, pujian, dan penggembalaan, tetapi pelaksanaan baptisan dan Perjamuan Kudus harus diputuskan berdasarkan doktrin dan pertimbangan pastoral.</w:t>
      </w:r>
    </w:p>
    <w:p w:rsidR="00D53774" w:rsidRDefault="00D53774" w:rsidP="00D53774">
      <w:pPr>
        <w:rPr>
          <w:rFonts w:cs="Times New Roman"/>
          <w:b/>
          <w:bCs/>
        </w:rPr>
      </w:pPr>
    </w:p>
    <w:p w:rsidR="00D53774" w:rsidRDefault="00D53774" w:rsidP="00D53774">
      <w:pPr>
        <w:rPr>
          <w:rFonts w:cs="Times New Roman"/>
          <w:b/>
          <w:bCs/>
        </w:rPr>
      </w:pPr>
    </w:p>
    <w:p w:rsidR="00D53774" w:rsidRDefault="00D53774" w:rsidP="00D53774">
      <w:pPr>
        <w:rPr>
          <w:rFonts w:cs="Times New Roman"/>
          <w:b/>
          <w:bCs/>
        </w:rPr>
      </w:pPr>
      <w:r>
        <w:rPr>
          <w:rFonts w:cs="Times New Roman"/>
          <w:b/>
          <w:bCs/>
        </w:rPr>
        <w:t>6.4.14. Persembahan Digital</w:t>
      </w:r>
    </w:p>
    <w:p w:rsidR="00D53774" w:rsidRDefault="00D53774" w:rsidP="00D53774">
      <w:pPr>
        <w:rPr>
          <w:rFonts w:cs="Times New Roman"/>
        </w:rPr>
      </w:pPr>
      <w:r>
        <w:rPr>
          <w:rFonts w:cs="Times New Roman"/>
        </w:rPr>
        <w:t>Persembahan digital mencakup transfer bank, dompet digital, kode QR, dan tautan donasi yang ditampilkan pada layar atau siaran ibadah. Praktik ini berkembang pesat sejak pandemi dan membawa dampak positif maupun negatif.</w:t>
      </w:r>
    </w:p>
    <w:p w:rsidR="00D53774" w:rsidRDefault="00D53774" w:rsidP="00D53774">
      <w:pPr>
        <w:rPr>
          <w:rFonts w:cs="Times New Roman"/>
        </w:rPr>
      </w:pPr>
      <w:r>
        <w:rPr>
          <w:rFonts w:cs="Times New Roman"/>
        </w:rPr>
        <w:t>Dampak positifnya, memberi menjadi lebih mudah bagi jemaat yang tidak membawa uang tunai atau mengikuti ibadah daring, termasuk jemaat di perantauan. Pencatatan dan pelaporan keuangan juga lebih rapi, dan jemaat terbantu memberi secara teratur sesuai 1 Korintus 16:2.</w:t>
      </w:r>
    </w:p>
    <w:p w:rsidR="00D53774" w:rsidRDefault="00D53774" w:rsidP="00D53774">
      <w:pPr>
        <w:rPr>
          <w:rFonts w:cs="Times New Roman"/>
        </w:rPr>
      </w:pPr>
      <w:r>
        <w:rPr>
          <w:rFonts w:cs="Times New Roman"/>
        </w:rPr>
        <w:t>Dampak negatifnya ada lima. Pertama, memberi yang semula tindakan bersama (membawa persembahan ke depan) dapat menjadi transaksi pribadi di depan layar, sehingga unsur ibadahnya melemah. Kedua, ajakan memberi lewat layar dapat menekan jemaat atau memakai bahasa “tabur benih” yang menguatkan teologi kemakmuran, padahal Paulus menekankan pemberian yang rela dan sukacita (2 Kor. 9:7). Ketiga, pemberian digital meninggalkan jejak data, sehingga prinsip memberi secara tersembunyi (Mat. 6:3–4) dan privasi donatur perlu dijaga. Keempat, ada risiko penipuan, penyalahgunaan akun, dan dana yang tidak transparan. Kelima, jemaat tanpa rekening atau dompet digital tersisih.</w:t>
      </w:r>
    </w:p>
    <w:p w:rsidR="00D53774" w:rsidRDefault="00D53774" w:rsidP="00D53774">
      <w:pPr>
        <w:rPr>
          <w:rFonts w:cs="Times New Roman"/>
        </w:rPr>
      </w:pPr>
      <w:r>
        <w:rPr>
          <w:rFonts w:cs="Times New Roman"/>
        </w:rPr>
        <w:t>Karena itu gereja perlu tetap menyediakan pilihan tunai, memberi ruang doa dan ucapan syukur saat persembahan, melindungi data donatur, melaporkan keuangan secara terbuka, dan menghindari tekanan atau janji berkat dalam ajakan memberi. Markus 12:41–44 mengingatkan bahwa Allah memperhatikan sikap hati pemberi, bukan jumlah atau caranya.</w:t>
      </w:r>
    </w:p>
    <w:p w:rsidR="00D53774" w:rsidRDefault="00D53774" w:rsidP="00D53774">
      <w:pPr>
        <w:rPr>
          <w:rFonts w:cs="Times New Roman"/>
          <w:b/>
          <w:bCs/>
        </w:rPr>
      </w:pPr>
      <w:r>
        <w:rPr>
          <w:rFonts w:cs="Times New Roman"/>
          <w:b/>
          <w:bCs/>
        </w:rPr>
        <w:t>6.4.15. Bahasa dan Budaya Lokal</w:t>
      </w:r>
    </w:p>
    <w:p w:rsidR="00D53774" w:rsidRDefault="00D53774" w:rsidP="00D53774">
      <w:pPr>
        <w:rPr>
          <w:rFonts w:cs="Times New Roman"/>
        </w:rPr>
      </w:pPr>
      <w:r>
        <w:rPr>
          <w:rFonts w:cs="Times New Roman"/>
        </w:rPr>
        <w:t>Teknologi menghubungkan gereja dengan dunia global, tetapi dapat menyeragamkan budaya: lagu, gaya panggung, bahasa, dan bentuk khotbah global menggantikan ekspresi lokal. Gereja Pentakosta tidak boleh hanya menjadi konsumen budaya digital global.</w:t>
      </w:r>
    </w:p>
    <w:p w:rsidR="00D53774" w:rsidRDefault="00D53774" w:rsidP="00D53774">
      <w:pPr>
        <w:rPr>
          <w:rFonts w:cs="Times New Roman"/>
        </w:rPr>
      </w:pPr>
      <w:r>
        <w:rPr>
          <w:rFonts w:cs="Times New Roman"/>
        </w:rPr>
        <w:t>Amos Yong menekankan pemahaman budaya secara pneumatologis: Roh Kudus bekerja dalam keragaman manusia. Maka teknologi harus membantu gereja mengembangkan bentuk lokal yang setia pada Injil, bukan menghapus identitas budaya.</w:t>
      </w:r>
    </w:p>
    <w:p w:rsidR="00D53774" w:rsidRDefault="00D53774" w:rsidP="00D53774">
      <w:pPr>
        <w:rPr>
          <w:rFonts w:cs="Times New Roman"/>
          <w:b/>
          <w:bCs/>
        </w:rPr>
      </w:pPr>
      <w:r>
        <w:rPr>
          <w:rFonts w:cs="Times New Roman"/>
          <w:b/>
          <w:bCs/>
        </w:rPr>
        <w:lastRenderedPageBreak/>
        <w:t>6.4.16. Ukuran Keberhasilan Ibadah</w:t>
      </w:r>
    </w:p>
    <w:p w:rsidR="00D53774" w:rsidRDefault="00D53774" w:rsidP="00D53774">
      <w:pPr>
        <w:rPr>
          <w:rFonts w:cs="Times New Roman"/>
        </w:rPr>
      </w:pPr>
      <w:r>
        <w:rPr>
          <w:rFonts w:cs="Times New Roman"/>
        </w:rPr>
        <w:t>Teknologi menyediakan banyak angka: penonton, watch time, likes, shares, subscriber, komentar. Angka ini berguna untuk evaluasi komunikasi, tetapi tidak cukup mengukur pertumbuhan rohani.</w:t>
      </w:r>
    </w:p>
    <w:p w:rsidR="00D53774" w:rsidRDefault="00D53774" w:rsidP="00D53774">
      <w:pPr>
        <w:rPr>
          <w:rFonts w:cs="Times New Roman"/>
        </w:rPr>
      </w:pPr>
      <w:r>
        <w:rPr>
          <w:rFonts w:cs="Times New Roman"/>
        </w:rPr>
        <w:t>Ukuran yang lebih dalam adalah pertobatan, pemuridan, pertumbuhan dalam firman, kasih, pelayanan, kepedulian pada orang miskin, kesetiaan dalam keluarga, integritas kerja, dan kesaksian hidup. Gereja tidak boleh menyamakan metrik digital dengan buah Kerajaan Allah.</w:t>
      </w:r>
    </w:p>
    <w:p w:rsidR="00D53774" w:rsidRDefault="00D53774" w:rsidP="00D53774">
      <w:pPr>
        <w:rPr>
          <w:rFonts w:cs="Times New Roman"/>
          <w:b/>
          <w:bCs/>
        </w:rPr>
      </w:pPr>
      <w:r>
        <w:rPr>
          <w:rFonts w:cs="Times New Roman"/>
          <w:b/>
          <w:bCs/>
        </w:rPr>
        <w:t>6.5. EVALUASI RELEVANSI IBADAH PENTAKOSTA-KARISMATIK MASA KINI</w:t>
      </w:r>
    </w:p>
    <w:p w:rsidR="00D53774" w:rsidRDefault="00D53774" w:rsidP="00D53774">
      <w:pPr>
        <w:rPr>
          <w:rFonts w:cs="Times New Roman"/>
          <w:b/>
          <w:bCs/>
        </w:rPr>
      </w:pPr>
      <w:r>
        <w:rPr>
          <w:rFonts w:cs="Times New Roman"/>
          <w:b/>
          <w:bCs/>
        </w:rPr>
        <w:t>6.5.1. Apakah Ibadah Berteknologi Masih Relevan?</w:t>
      </w:r>
    </w:p>
    <w:p w:rsidR="00D53774" w:rsidRDefault="00D53774" w:rsidP="00D53774">
      <w:pPr>
        <w:rPr>
          <w:rFonts w:cs="Times New Roman"/>
        </w:rPr>
      </w:pPr>
      <w:r>
        <w:rPr>
          <w:rFonts w:cs="Times New Roman"/>
        </w:rPr>
        <w:t>Jawabannya: relevan, tetapi tidak otomatis. Teknologi relevan karena jemaat hidup dalam budaya digital, dan menolaknya sama sekali dapat memutus komunikasi dengan generasi sekarang. Namun relevan tidak berarti mengikuti semua tren, melainkan menyampaikan Injil secara dapat dipahami tanpa mengubah kebenarannya.</w:t>
      </w:r>
    </w:p>
    <w:p w:rsidR="00D53774" w:rsidRDefault="00D53774" w:rsidP="00D53774">
      <w:pPr>
        <w:rPr>
          <w:rFonts w:cs="Times New Roman"/>
        </w:rPr>
      </w:pPr>
      <w:r>
        <w:rPr>
          <w:rFonts w:cs="Times New Roman"/>
        </w:rPr>
        <w:t>Mudau dan Tshifhumulo menyimpulkan bahwa teknologi membuka peluang keterlibatan, penginjilan, pendidikan, dan pembangunan komunitas, tetapi tetap terbatas. Lontoh dan Wibowo menunjukkan bahwa Digital Pentecostalism di Indonesia sudah menjadi kenyataan. Jadi pertanyaannya bukan apakah gereja menjadi digital, melainkan bagaimana menjadi digital secara sehat.</w:t>
      </w:r>
    </w:p>
    <w:p w:rsidR="00D53774" w:rsidRDefault="00D53774" w:rsidP="00D53774">
      <w:pPr>
        <w:rPr>
          <w:rFonts w:cs="Times New Roman"/>
          <w:b/>
          <w:bCs/>
        </w:rPr>
      </w:pPr>
    </w:p>
    <w:p w:rsidR="00D53774" w:rsidRDefault="00D53774" w:rsidP="00D53774">
      <w:pPr>
        <w:rPr>
          <w:rFonts w:cs="Times New Roman"/>
          <w:b/>
          <w:bCs/>
        </w:rPr>
      </w:pPr>
    </w:p>
    <w:p w:rsidR="00D53774" w:rsidRDefault="00D53774" w:rsidP="00D53774">
      <w:pPr>
        <w:rPr>
          <w:rFonts w:cs="Times New Roman"/>
          <w:b/>
          <w:bCs/>
        </w:rPr>
      </w:pPr>
    </w:p>
    <w:p w:rsidR="00D53774" w:rsidRDefault="00D53774" w:rsidP="00D53774">
      <w:pPr>
        <w:rPr>
          <w:rFonts w:cs="Times New Roman"/>
          <w:b/>
          <w:bCs/>
        </w:rPr>
      </w:pPr>
      <w:r>
        <w:rPr>
          <w:rFonts w:cs="Times New Roman"/>
          <w:b/>
          <w:bCs/>
        </w:rPr>
        <w:t>6.5.2. Relevan Secara Teologis</w:t>
      </w:r>
    </w:p>
    <w:p w:rsidR="00D53774" w:rsidRDefault="00D53774" w:rsidP="00D53774">
      <w:pPr>
        <w:rPr>
          <w:rFonts w:cs="Times New Roman"/>
        </w:rPr>
      </w:pPr>
      <w:r>
        <w:rPr>
          <w:rFonts w:cs="Times New Roman"/>
        </w:rPr>
        <w:t>Teknologi relevan secara teologis bila melayani misi gereja: memuliakan Allah, memberitakan Injil, membangun jemaat, memperlengkapi orang percaya, dan melayani sesama. Nilainya ditentukan oleh cara dan tujuan penggunaannya.</w:t>
      </w:r>
    </w:p>
    <w:p w:rsidR="00D53774" w:rsidRDefault="00D53774" w:rsidP="00D53774">
      <w:pPr>
        <w:rPr>
          <w:rFonts w:cs="Times New Roman"/>
        </w:rPr>
      </w:pPr>
      <w:r>
        <w:rPr>
          <w:rFonts w:cs="Times New Roman"/>
        </w:rPr>
        <w:lastRenderedPageBreak/>
        <w:t>Dalam perspektif Pentakosta, teknologi dapat dipandang sebagai kreativitas manusia yang diarahkan Roh Kudus.</w:t>
      </w:r>
      <w:r>
        <w:rPr>
          <w:rStyle w:val="FootnoteReference"/>
          <w:rFonts w:cs="Times New Roman"/>
        </w:rPr>
        <w:footnoteReference w:id="57"/>
      </w:r>
      <w:r>
        <w:rPr>
          <w:rFonts w:cs="Times New Roman"/>
        </w:rPr>
        <w:t xml:space="preserve"> Namun “dipimpin Roh” tidak boleh menjadi alasan menghindari evaluasi, sebab Roh Kudus tidak meniadakan hikmat, etika, tanggung jawab, dan pengujian.</w:t>
      </w:r>
    </w:p>
    <w:p w:rsidR="00D53774" w:rsidRDefault="00D53774" w:rsidP="00D53774">
      <w:pPr>
        <w:rPr>
          <w:rFonts w:cs="Times New Roman"/>
          <w:b/>
          <w:bCs/>
        </w:rPr>
      </w:pPr>
      <w:r>
        <w:rPr>
          <w:rFonts w:cs="Times New Roman"/>
          <w:b/>
          <w:bCs/>
        </w:rPr>
        <w:t>6.5.3. Relevan Secara Pastoral</w:t>
      </w:r>
    </w:p>
    <w:p w:rsidR="00D53774" w:rsidRDefault="00D53774" w:rsidP="00D53774">
      <w:pPr>
        <w:rPr>
          <w:rFonts w:cs="Times New Roman"/>
        </w:rPr>
      </w:pPr>
      <w:r>
        <w:rPr>
          <w:rFonts w:cs="Times New Roman"/>
        </w:rPr>
        <w:t>Streaming memberkati orang sakit, lansia, mahasiswa di perantauan, dan pencari gereja. Rekaman khotbah menjadi sumber belajar, dan grup digital dapat dipakai untuk doa dan pendampingan.</w:t>
      </w:r>
    </w:p>
    <w:p w:rsidR="00D53774" w:rsidRDefault="00D53774" w:rsidP="00D53774">
      <w:pPr>
        <w:rPr>
          <w:rFonts w:cs="Times New Roman"/>
        </w:rPr>
      </w:pPr>
      <w:r>
        <w:rPr>
          <w:rFonts w:cs="Times New Roman"/>
        </w:rPr>
        <w:t>Namun pesan otomatis tidak dapat menggantikan pelayanan pastoral. Orang yang berduka atau krisis membutuhkan kehadiran, pendengaran, dan doa bersama. Gereja perlu model pastoral hibrida: teknologi memperluas kontak, relasi tetap manusiawi dan nyata.</w:t>
      </w:r>
    </w:p>
    <w:p w:rsidR="00D53774" w:rsidRDefault="00D53774" w:rsidP="00D53774">
      <w:pPr>
        <w:rPr>
          <w:rFonts w:cs="Times New Roman"/>
          <w:b/>
          <w:bCs/>
        </w:rPr>
      </w:pPr>
      <w:r>
        <w:rPr>
          <w:rFonts w:cs="Times New Roman"/>
          <w:b/>
          <w:bCs/>
        </w:rPr>
        <w:t>6.5.4. Relevan bagi Generasi Muda</w:t>
      </w:r>
    </w:p>
    <w:p w:rsidR="00D53774" w:rsidRDefault="00D53774" w:rsidP="00D53774">
      <w:pPr>
        <w:rPr>
          <w:rFonts w:cs="Times New Roman"/>
        </w:rPr>
      </w:pPr>
      <w:r>
        <w:rPr>
          <w:rFonts w:cs="Times New Roman"/>
        </w:rPr>
        <w:t>Generasi muda hidup dalam budaya visual dan jaringan, sehingga gereja perlu memahami cara mereka berkomunikasi. Tetapi mereka tidak hanya butuh hiburan; mereka juga butuh kedalaman teologi, ruang bertanya, teladan, komunitas, dan pemuridan.</w:t>
      </w:r>
    </w:p>
    <w:p w:rsidR="00D53774" w:rsidRDefault="00D53774" w:rsidP="00D53774">
      <w:pPr>
        <w:rPr>
          <w:rFonts w:cs="Times New Roman"/>
        </w:rPr>
      </w:pPr>
      <w:r>
        <w:rPr>
          <w:rFonts w:cs="Times New Roman"/>
        </w:rPr>
        <w:t>Ibadah yang relevan bukan sekadar yang memakai LED dan kamera, melainkan yang menjawab pertanyaan nyata mereka: identitas, kecemasan, relasi, pekerjaan, keadilan, masa depan, dosa, panggilan, dan pengharapan.</w:t>
      </w:r>
    </w:p>
    <w:p w:rsidR="00D53774" w:rsidRDefault="00D53774" w:rsidP="00D53774">
      <w:pPr>
        <w:rPr>
          <w:rFonts w:cs="Times New Roman"/>
        </w:rPr>
      </w:pPr>
    </w:p>
    <w:p w:rsidR="00D53774" w:rsidRDefault="00D53774" w:rsidP="00D53774">
      <w:pPr>
        <w:rPr>
          <w:rFonts w:cs="Times New Roman"/>
          <w:b/>
          <w:bCs/>
        </w:rPr>
      </w:pPr>
      <w:r>
        <w:rPr>
          <w:rFonts w:cs="Times New Roman"/>
          <w:b/>
          <w:bCs/>
        </w:rPr>
        <w:t>6.5.5. Relevan tetapi Harus Kritis</w:t>
      </w:r>
    </w:p>
    <w:p w:rsidR="00D53774" w:rsidRDefault="00D53774" w:rsidP="00D53774">
      <w:pPr>
        <w:rPr>
          <w:rFonts w:cs="Times New Roman"/>
        </w:rPr>
      </w:pPr>
      <w:r>
        <w:rPr>
          <w:rFonts w:cs="Times New Roman"/>
        </w:rPr>
        <w:t>Gereja sebaiknya mengambil posisi “kritis-kreatif”: tidak anti-teknologi dan tidak menyembah teknologi. Manfaatnya diterima, dampaknya dinilai, dan alat selalu tunduk pada tujuan ibadah.</w:t>
      </w:r>
    </w:p>
    <w:p w:rsidR="00D53774" w:rsidRDefault="00D53774" w:rsidP="00D53774">
      <w:pPr>
        <w:rPr>
          <w:rFonts w:cs="Times New Roman"/>
          <w:b/>
          <w:bCs/>
        </w:rPr>
      </w:pPr>
      <w:r>
        <w:rPr>
          <w:rFonts w:cs="Times New Roman"/>
          <w:b/>
          <w:bCs/>
        </w:rPr>
        <w:t>6.6. MODEL IBADAH TEKNOLOGI YANG SEHAT DAN TEOLOGIS</w:t>
      </w:r>
    </w:p>
    <w:p w:rsidR="00D53774" w:rsidRDefault="00D53774" w:rsidP="00D53774">
      <w:pPr>
        <w:rPr>
          <w:rFonts w:cs="Times New Roman"/>
        </w:rPr>
      </w:pPr>
      <w:r>
        <w:rPr>
          <w:rFonts w:cs="Times New Roman"/>
          <w:b/>
          <w:bCs/>
        </w:rPr>
        <w:t>6.6.1. Prinsip Kristosentris</w:t>
      </w:r>
    </w:p>
    <w:p w:rsidR="00D53774" w:rsidRDefault="00D53774" w:rsidP="00D53774">
      <w:pPr>
        <w:rPr>
          <w:rFonts w:cs="Times New Roman"/>
        </w:rPr>
      </w:pPr>
      <w:r>
        <w:rPr>
          <w:rFonts w:cs="Times New Roman"/>
        </w:rPr>
        <w:lastRenderedPageBreak/>
        <w:t>Semua teknologi harus membantu jemaat melihat Kristus, bukan teknologi atau pelayan. Pertanyaan ujinya: apakah ini menolong jemaat mengenal Kristus, memahami firman, berdoa, bertobat, dan mengasihi?</w:t>
      </w:r>
    </w:p>
    <w:p w:rsidR="00D53774" w:rsidRDefault="00D53774" w:rsidP="00D53774">
      <w:pPr>
        <w:rPr>
          <w:rFonts w:cs="Times New Roman"/>
          <w:b/>
          <w:bCs/>
        </w:rPr>
      </w:pPr>
      <w:r>
        <w:rPr>
          <w:rFonts w:cs="Times New Roman"/>
          <w:b/>
          <w:bCs/>
        </w:rPr>
        <w:t>6.6.2. Prinsip Biblis</w:t>
      </w:r>
    </w:p>
    <w:p w:rsidR="00D53774" w:rsidRDefault="00D53774" w:rsidP="00D53774">
      <w:pPr>
        <w:rPr>
          <w:rFonts w:cs="Times New Roman"/>
        </w:rPr>
      </w:pPr>
      <w:r>
        <w:rPr>
          <w:rFonts w:cs="Times New Roman"/>
        </w:rPr>
        <w:t>Teknologi diuji berdasarkan Kitab Suci: 1 Korintus 14:26–40 (pembangunan jemaat dan ketertiban), Roma 12:1–2 (persembahan hidup), Yohanes 4:23–24 (penyembahan dalam roh dan kebenaran), dan Kolose 3:16 (nyanyian dan firman Kristus yang diam dalam jemaat).</w:t>
      </w:r>
      <w:r>
        <w:rPr>
          <w:rStyle w:val="FootnoteReference"/>
          <w:rFonts w:cs="Times New Roman"/>
        </w:rPr>
        <w:footnoteReference w:id="58"/>
      </w:r>
    </w:p>
    <w:p w:rsidR="00D53774" w:rsidRDefault="00D53774" w:rsidP="00D53774">
      <w:pPr>
        <w:rPr>
          <w:rFonts w:cs="Times New Roman"/>
          <w:b/>
          <w:bCs/>
        </w:rPr>
      </w:pPr>
      <w:r>
        <w:rPr>
          <w:rFonts w:cs="Times New Roman"/>
          <w:b/>
          <w:bCs/>
        </w:rPr>
        <w:t>6.6.3. Prinsip Pneumatologis</w:t>
      </w:r>
    </w:p>
    <w:p w:rsidR="00D53774" w:rsidRDefault="00D53774" w:rsidP="00D53774">
      <w:pPr>
        <w:rPr>
          <w:rFonts w:cs="Times New Roman"/>
        </w:rPr>
      </w:pPr>
      <w:r>
        <w:rPr>
          <w:rFonts w:cs="Times New Roman"/>
        </w:rPr>
        <w:t>Roh Kudus tidak identik dengan suasana, musik, atau efek tertentu. Kehadiran-Nya terlihat dari karya yang mengarah kepada Kristus, menghasilkan buah Roh, membangun jemaat, memberi keberanian bersaksi, dan membentuk kekudusan.</w:t>
      </w:r>
    </w:p>
    <w:p w:rsidR="00D53774" w:rsidRDefault="00D53774" w:rsidP="00D53774">
      <w:pPr>
        <w:rPr>
          <w:rFonts w:cs="Times New Roman"/>
          <w:b/>
          <w:bCs/>
        </w:rPr>
      </w:pPr>
      <w:r>
        <w:rPr>
          <w:rFonts w:cs="Times New Roman"/>
          <w:b/>
          <w:bCs/>
        </w:rPr>
        <w:t>6.6.4. Prinsip Komunal</w:t>
      </w:r>
    </w:p>
    <w:p w:rsidR="00D53774" w:rsidRDefault="00D53774" w:rsidP="00D53774">
      <w:pPr>
        <w:rPr>
          <w:rFonts w:cs="Times New Roman"/>
        </w:rPr>
      </w:pPr>
      <w:r>
        <w:rPr>
          <w:rFonts w:cs="Times New Roman"/>
        </w:rPr>
        <w:t>Ibadah Kristen bersifat bersama. Gereja digital perlu menciptakan partisipasi, bukan hanya penonton, misalnya lewat kelompok kecil setelah streaming, ruang doa, pendampingan, diskusi firman, dan pertemuan fisik berkala.</w:t>
      </w:r>
    </w:p>
    <w:p w:rsidR="00D53774" w:rsidRDefault="00D53774" w:rsidP="00D53774">
      <w:pPr>
        <w:rPr>
          <w:rFonts w:cs="Times New Roman"/>
          <w:b/>
          <w:bCs/>
        </w:rPr>
      </w:pPr>
      <w:r>
        <w:rPr>
          <w:rFonts w:cs="Times New Roman"/>
          <w:b/>
          <w:bCs/>
        </w:rPr>
        <w:t>6.6.5. Prinsip Etis</w:t>
      </w:r>
    </w:p>
    <w:p w:rsidR="00D53774" w:rsidRDefault="00D53774" w:rsidP="00D53774">
      <w:pPr>
        <w:rPr>
          <w:rFonts w:cs="Times New Roman"/>
        </w:rPr>
      </w:pPr>
      <w:r>
        <w:rPr>
          <w:rFonts w:cs="Times New Roman"/>
        </w:rPr>
        <w:t>Setiap gereja perlu kebijakan tentang rekaman, privasi, anak-anak, kesaksian, foto, hak cipta lagu, AI, keamanan akun, dan data jemaat.</w:t>
      </w:r>
    </w:p>
    <w:p w:rsidR="00D53774" w:rsidRDefault="00D53774" w:rsidP="00D53774">
      <w:pPr>
        <w:rPr>
          <w:rFonts w:cs="Times New Roman"/>
          <w:b/>
          <w:bCs/>
        </w:rPr>
      </w:pPr>
      <w:r>
        <w:rPr>
          <w:rFonts w:cs="Times New Roman"/>
          <w:b/>
          <w:bCs/>
        </w:rPr>
        <w:t>6.6.6. Prinsip Inklusif</w:t>
      </w:r>
    </w:p>
    <w:p w:rsidR="00D53774" w:rsidRDefault="00D53774" w:rsidP="00D53774">
      <w:pPr>
        <w:rPr>
          <w:rFonts w:cs="Times New Roman"/>
        </w:rPr>
      </w:pPr>
      <w:r>
        <w:rPr>
          <w:rFonts w:cs="Times New Roman"/>
        </w:rPr>
        <w:t>Teknologi harus menjadi jembatan. Bagi jemaat yang tidak mampu mengakses teknologi, gereja menyediakan alternatif seperti materi cetak, kunjungan pastoral, telepon, dan pelayanan langsung.</w:t>
      </w:r>
    </w:p>
    <w:p w:rsidR="00D53774" w:rsidRDefault="00D53774" w:rsidP="00D53774">
      <w:pPr>
        <w:rPr>
          <w:rFonts w:cs="Times New Roman"/>
          <w:b/>
          <w:bCs/>
        </w:rPr>
      </w:pPr>
      <w:r>
        <w:rPr>
          <w:rFonts w:cs="Times New Roman"/>
          <w:b/>
          <w:bCs/>
        </w:rPr>
        <w:t>6.6.7. Prinsip Pemuridan</w:t>
      </w:r>
    </w:p>
    <w:p w:rsidR="00D53774" w:rsidRDefault="00D53774" w:rsidP="00D53774">
      <w:pPr>
        <w:rPr>
          <w:rFonts w:cs="Times New Roman"/>
        </w:rPr>
      </w:pPr>
      <w:r>
        <w:rPr>
          <w:rFonts w:cs="Times New Roman"/>
        </w:rPr>
        <w:t>Konten digital harus mengarah pada pemuridan; tujuannya murid Kristus, bukan subscriber. Media dapat dipakai untuk membaca Alkitab bersama, kelas teologi, doa, kelompok kecil, dan pelayanan sosial.</w:t>
      </w:r>
    </w:p>
    <w:p w:rsidR="00D53774" w:rsidRDefault="00D53774" w:rsidP="00D53774">
      <w:pPr>
        <w:rPr>
          <w:rFonts w:cs="Times New Roman"/>
          <w:b/>
          <w:bCs/>
        </w:rPr>
      </w:pPr>
      <w:r>
        <w:rPr>
          <w:rFonts w:cs="Times New Roman"/>
          <w:b/>
          <w:bCs/>
        </w:rPr>
        <w:t>6.6.8. Prinsip Kesederhanaan</w:t>
      </w:r>
    </w:p>
    <w:p w:rsidR="00D53774" w:rsidRDefault="00D53774" w:rsidP="00D53774">
      <w:pPr>
        <w:rPr>
          <w:rFonts w:cs="Times New Roman"/>
        </w:rPr>
      </w:pPr>
      <w:r>
        <w:rPr>
          <w:rFonts w:cs="Times New Roman"/>
        </w:rPr>
        <w:lastRenderedPageBreak/>
        <w:t>Tidak semua teknologi perlu dipakai sekaligus; pilih yang benar-benar mendukung tujuan ibadah. Kesederhanaan dapat menjadi kesaksian bahwa pusat ibadah bukan kecanggihan alat.</w:t>
      </w:r>
    </w:p>
    <w:p w:rsidR="00D53774" w:rsidRDefault="00D53774" w:rsidP="00D53774">
      <w:pPr>
        <w:rPr>
          <w:rFonts w:cs="Times New Roman"/>
          <w:b/>
          <w:bCs/>
        </w:rPr>
      </w:pPr>
      <w:r>
        <w:rPr>
          <w:rFonts w:cs="Times New Roman"/>
          <w:b/>
          <w:bCs/>
        </w:rPr>
        <w:t>6.7. IMPLIKASI BAGI GEREJA, PEMIMPIN, DAN JEMAAT</w:t>
      </w:r>
    </w:p>
    <w:p w:rsidR="00D53774" w:rsidRDefault="00D53774" w:rsidP="00D53774">
      <w:pPr>
        <w:rPr>
          <w:rFonts w:cs="Times New Roman"/>
          <w:b/>
          <w:bCs/>
        </w:rPr>
      </w:pPr>
      <w:r>
        <w:rPr>
          <w:rFonts w:cs="Times New Roman"/>
          <w:b/>
          <w:bCs/>
        </w:rPr>
        <w:t>6.7.1. Bagi Pendeta dan Pemimpin Gereja</w:t>
      </w:r>
    </w:p>
    <w:p w:rsidR="00D53774" w:rsidRDefault="00D53774" w:rsidP="00D53774">
      <w:pPr>
        <w:rPr>
          <w:rFonts w:cs="Times New Roman"/>
        </w:rPr>
      </w:pPr>
      <w:r>
        <w:rPr>
          <w:rFonts w:cs="Times New Roman"/>
        </w:rPr>
        <w:t>Pemimpin gereja perlu menjadi teolog sekaligus pembelajar budaya. Pendeta tidak harus ahli teknologi, tetapi harus memahami dampaknya pada jemaat dan membentuk tim media yang terampil sekaligus paham etika dan teologi.</w:t>
      </w:r>
    </w:p>
    <w:p w:rsidR="00D53774" w:rsidRDefault="00D53774" w:rsidP="00D53774">
      <w:pPr>
        <w:rPr>
          <w:rFonts w:cs="Times New Roman"/>
        </w:rPr>
      </w:pPr>
      <w:r>
        <w:rPr>
          <w:rFonts w:cs="Times New Roman"/>
        </w:rPr>
        <w:t>Pendeta juga perlu mengajar literasi digital Kristen: menilai khotbah online, membedakan kesaksian dari pencitraan, memeriksa informasi, dan bermedia sosial dengan kasih.</w:t>
      </w:r>
    </w:p>
    <w:p w:rsidR="00D53774" w:rsidRDefault="00D53774" w:rsidP="00D53774">
      <w:pPr>
        <w:rPr>
          <w:rFonts w:cs="Times New Roman"/>
          <w:b/>
          <w:bCs/>
        </w:rPr>
      </w:pPr>
      <w:r>
        <w:rPr>
          <w:rFonts w:cs="Times New Roman"/>
          <w:b/>
          <w:bCs/>
        </w:rPr>
        <w:t>6.7.2. Bagi Worship Leader dan Musisi</w:t>
      </w:r>
    </w:p>
    <w:p w:rsidR="00D53774" w:rsidRDefault="00D53774" w:rsidP="00D53774">
      <w:pPr>
        <w:rPr>
          <w:rFonts w:cs="Times New Roman"/>
        </w:rPr>
      </w:pPr>
      <w:r>
        <w:rPr>
          <w:rFonts w:cs="Times New Roman"/>
        </w:rPr>
        <w:t>Tugas utama worship leader bukan membuat jemaat terkesan, melainkan membantu jemaat berpartisipasi dalam penyembahan. Teknologi audio dan visual sebaiknya membantu jemaat bernyanyi dan memahami lirik.</w:t>
      </w:r>
    </w:p>
    <w:p w:rsidR="00D53774" w:rsidRDefault="00D53774" w:rsidP="00D53774">
      <w:pPr>
        <w:rPr>
          <w:rFonts w:cs="Times New Roman"/>
        </w:rPr>
      </w:pPr>
      <w:r>
        <w:rPr>
          <w:rFonts w:cs="Times New Roman"/>
        </w:rPr>
        <w:t>Lagu populer belum tentu paling tepat. Pilih lagu berdasarkan isi teologi, bahasa, konteks jemaat, dan apakah lagu mengarahkan hati kepada Allah.</w:t>
      </w:r>
    </w:p>
    <w:p w:rsidR="00D53774" w:rsidRDefault="00D53774" w:rsidP="00D53774">
      <w:pPr>
        <w:rPr>
          <w:rFonts w:cs="Times New Roman"/>
          <w:b/>
          <w:bCs/>
        </w:rPr>
      </w:pPr>
      <w:r>
        <w:rPr>
          <w:rFonts w:cs="Times New Roman"/>
          <w:b/>
          <w:bCs/>
        </w:rPr>
        <w:t>6.7.3. Bagi Tim Multimedia</w:t>
      </w:r>
    </w:p>
    <w:p w:rsidR="00D53774" w:rsidRDefault="00D53774" w:rsidP="00D53774">
      <w:pPr>
        <w:rPr>
          <w:rFonts w:cs="Times New Roman"/>
        </w:rPr>
      </w:pPr>
      <w:r>
        <w:rPr>
          <w:rFonts w:cs="Times New Roman"/>
        </w:rPr>
        <w:t>Tim multimedia adalah bagian dari pelayanan ibadah, bukan sekadar teknis. Mereka perlu berdoa, memahami alur ibadah, dan tahu kapan kamera menampilkan jemaat, kapan layar cukup sederhana, dan kapan teknologi dikurangi.</w:t>
      </w:r>
    </w:p>
    <w:p w:rsidR="00D53774" w:rsidRDefault="00D53774" w:rsidP="00D53774">
      <w:pPr>
        <w:rPr>
          <w:rFonts w:cs="Times New Roman"/>
        </w:rPr>
      </w:pPr>
      <w:r>
        <w:rPr>
          <w:rFonts w:cs="Times New Roman"/>
        </w:rPr>
        <w:t>Tim media juga menghormati privasi: pelayanan altar, doa pribadi, tangisan, dan konseling tidak selalu layak disiarkan. Prinsip pastoral mengalahkan kebutuhan konten.</w:t>
      </w:r>
    </w:p>
    <w:p w:rsidR="00D53774" w:rsidRDefault="00D53774" w:rsidP="00D53774">
      <w:pPr>
        <w:rPr>
          <w:rFonts w:cs="Times New Roman"/>
          <w:b/>
          <w:bCs/>
        </w:rPr>
      </w:pPr>
      <w:r>
        <w:rPr>
          <w:rFonts w:cs="Times New Roman"/>
          <w:b/>
          <w:bCs/>
        </w:rPr>
        <w:t>6.7.4. Bagi Jemaat</w:t>
      </w:r>
    </w:p>
    <w:p w:rsidR="00D53774" w:rsidRDefault="00D53774" w:rsidP="00D53774">
      <w:pPr>
        <w:rPr>
          <w:rFonts w:cs="Times New Roman"/>
        </w:rPr>
      </w:pPr>
      <w:r>
        <w:rPr>
          <w:rFonts w:cs="Times New Roman"/>
        </w:rPr>
        <w:t>Jemaat dipanggil menjadi peserta aktif. Saat beribadah daring, siapkan tempat, matikan gangguan, baca Alkitab, bernyanyi, berdoa, dan ikuti persekutuan; jangan memperlakukannya seperti menonton hiburan.</w:t>
      </w:r>
    </w:p>
    <w:p w:rsidR="00D53774" w:rsidRDefault="00D53774" w:rsidP="00D53774">
      <w:pPr>
        <w:rPr>
          <w:rFonts w:cs="Times New Roman"/>
        </w:rPr>
      </w:pPr>
      <w:r>
        <w:rPr>
          <w:rFonts w:cs="Times New Roman"/>
        </w:rPr>
        <w:lastRenderedPageBreak/>
        <w:t>Jemaat juga perlu disiplin digital. Tidak semua konten rohani harus dikonsumsi; iman kadang bertumbuh lewat keheningan, membaca Alkitab tanpa layar, doa tanpa kamera, dan perjumpaan langsung.</w:t>
      </w:r>
    </w:p>
    <w:p w:rsidR="00D53774" w:rsidRDefault="00D53774" w:rsidP="00D53774">
      <w:pPr>
        <w:rPr>
          <w:rFonts w:cs="Times New Roman"/>
          <w:b/>
          <w:bCs/>
        </w:rPr>
      </w:pPr>
      <w:r>
        <w:rPr>
          <w:rFonts w:cs="Times New Roman"/>
          <w:b/>
          <w:bCs/>
        </w:rPr>
        <w:t>6.7.5. Bagi Pendidikan Teologi</w:t>
      </w:r>
    </w:p>
    <w:p w:rsidR="00D53774" w:rsidRDefault="00D53774" w:rsidP="00D53774">
      <w:pPr>
        <w:rPr>
          <w:rFonts w:cs="Times New Roman"/>
        </w:rPr>
      </w:pPr>
      <w:r>
        <w:rPr>
          <w:rFonts w:cs="Times New Roman"/>
        </w:rPr>
        <w:t>Sekolah Tinggi Teologi perlu memasukkan literasi digital, etika teknologi, media ministry, dan teologi teknologi dalam pendidikan calon pendeta, agar mahasiswa mampu menilai teknologi secara biblis dan teologis, bukan hanya memakainya.</w:t>
      </w:r>
    </w:p>
    <w:p w:rsidR="00D53774" w:rsidRDefault="00D53774" w:rsidP="00D53774">
      <w:pPr>
        <w:rPr>
          <w:rFonts w:cs="Times New Roman"/>
        </w:rPr>
      </w:pPr>
      <w:r>
        <w:rPr>
          <w:rFonts w:cs="Times New Roman"/>
        </w:rPr>
        <w:t>Di era AI, kemampuan menguji sumber semakin penting. Mahasiswa harus belajar bahwa jawaban yang terdengar meyakinkan belum tentu benar secara teologis.</w:t>
      </w:r>
    </w:p>
    <w:p w:rsidR="00D53774" w:rsidRDefault="00D53774" w:rsidP="00D53774">
      <w:pPr>
        <w:rPr>
          <w:rFonts w:cs="Times New Roman"/>
          <w:b/>
          <w:bCs/>
        </w:rPr>
      </w:pPr>
      <w:r>
        <w:rPr>
          <w:rFonts w:cs="Times New Roman"/>
          <w:b/>
          <w:bCs/>
        </w:rPr>
        <w:t>6.8. KESIMPULAN DAN REKOMENDASI</w:t>
      </w:r>
    </w:p>
    <w:p w:rsidR="00D53774" w:rsidRDefault="00D53774" w:rsidP="00D53774">
      <w:pPr>
        <w:rPr>
          <w:rFonts w:cs="Times New Roman"/>
          <w:b/>
          <w:bCs/>
        </w:rPr>
      </w:pPr>
      <w:r>
        <w:rPr>
          <w:rFonts w:cs="Times New Roman"/>
          <w:b/>
          <w:bCs/>
        </w:rPr>
        <w:t>6.8.1. Kesimpulan</w:t>
      </w:r>
    </w:p>
    <w:p w:rsidR="00D53774" w:rsidRDefault="00D53774" w:rsidP="00D53774">
      <w:pPr>
        <w:rPr>
          <w:rFonts w:cs="Times New Roman"/>
        </w:rPr>
      </w:pPr>
      <w:r>
        <w:rPr>
          <w:rFonts w:cs="Times New Roman"/>
        </w:rPr>
        <w:t>Teknologi telah menjadi bagian nyata kehidupan gereja Pentakosta-Karismatik. Live streaming, media sosial, multimedia, aplikasi, dan musik digital mengubah cara gereja beribadah dan bermisi. Penelitian menunjukkan Digital Pentecostalism berkembang di Indonesia dengan peluang dan tantangan.</w:t>
      </w:r>
    </w:p>
    <w:p w:rsidR="00D53774" w:rsidRDefault="00D53774" w:rsidP="00D53774">
      <w:pPr>
        <w:rPr>
          <w:rFonts w:cs="Times New Roman"/>
        </w:rPr>
      </w:pPr>
      <w:r>
        <w:rPr>
          <w:rFonts w:cs="Times New Roman"/>
        </w:rPr>
        <w:t>Teknologi tidak dapat dinilai hanya baik atau buruk; dampaknya bergantung pada tujuan, cara pakai, dan budaya yang dibentuknya. Teknologi relevan bila membantu gereja memuliakan Allah, memberitakan Injil, membangun persekutuan, mengajar firman, memuridkan, dan melayani manusia</w:t>
      </w:r>
    </w:p>
    <w:p w:rsidR="00D53774" w:rsidRDefault="00D53774" w:rsidP="00D53774">
      <w:pPr>
        <w:rPr>
          <w:rFonts w:cs="Times New Roman"/>
        </w:rPr>
      </w:pPr>
      <w:r>
        <w:rPr>
          <w:rFonts w:cs="Times New Roman"/>
        </w:rPr>
        <w:t>Isu kritisnya: distraksi, budaya pertunjukan, manipulasi emosi, performer mentality, ketergantungan pada algoritma, ketimpangan digital, persembahan digital, privasi, penggunaan AI, hilangnya dimensi tubuh dan komunitas, dan pergeseran ukuran keberhasilan dari buah rohani ke angka digital. Gereja membutuhkan teologi teknologi yang lebih matang.</w:t>
      </w:r>
    </w:p>
    <w:p w:rsidR="00D53774" w:rsidRDefault="00D53774" w:rsidP="00D53774">
      <w:pPr>
        <w:rPr>
          <w:rFonts w:cs="Times New Roman"/>
        </w:rPr>
      </w:pPr>
      <w:r>
        <w:rPr>
          <w:rFonts w:cs="Times New Roman"/>
        </w:rPr>
        <w:t>Simon Chan mengingatkan bahwa ibadah adalah praktik teologi yang membentuk hidup. Amos Yong mendorong dialog Pentakosta dengan budaya dan ilmu secara pneumatologis. Heidi Campbell menunjukkan online dan offline semakin terhubung. Lontoh dan Wibowo menggambarkan Pentakosta digital di Indonesia; Mudau dan Tshifhumulo memperlihatkan manfaat dan keterbatasan teknologi; Togarasei menunjukkan pemakaian media bukan hal baru; Trammell menegaskan media memengaruhi pengalaman ibadah.</w:t>
      </w:r>
    </w:p>
    <w:p w:rsidR="00D53774" w:rsidRDefault="00D53774" w:rsidP="00D53774">
      <w:pPr>
        <w:rPr>
          <w:rFonts w:cs="Times New Roman"/>
        </w:rPr>
      </w:pPr>
      <w:r>
        <w:rPr>
          <w:rFonts w:cs="Times New Roman"/>
        </w:rPr>
        <w:lastRenderedPageBreak/>
        <w:t>Gereja tidak perlu kembali ke masa sebelum teknologi, tetapi juga tidak boleh menyerahkan ibadah pada logika teknologi. Jalan yang tepat adalah penggunaan yang kritis, kreatif, Kristosentris, biblis, pneumatologis, etis, komunal, dan berorientasi pemuridan.</w:t>
      </w:r>
    </w:p>
    <w:p w:rsidR="00D53774" w:rsidRDefault="00D53774" w:rsidP="00D53774">
      <w:pPr>
        <w:rPr>
          <w:rFonts w:cs="Times New Roman"/>
          <w:b/>
          <w:bCs/>
        </w:rPr>
      </w:pPr>
      <w:r>
        <w:rPr>
          <w:rFonts w:cs="Times New Roman"/>
          <w:b/>
          <w:bCs/>
        </w:rPr>
        <w:t>6.8.2. Rekomendasi</w:t>
      </w:r>
    </w:p>
    <w:p w:rsidR="00D53774" w:rsidRDefault="00D53774" w:rsidP="00D53774">
      <w:pPr>
        <w:numPr>
          <w:ilvl w:val="0"/>
          <w:numId w:val="44"/>
        </w:numPr>
        <w:spacing w:after="120" w:line="360" w:lineRule="auto"/>
        <w:ind w:left="357" w:hanging="357"/>
        <w:rPr>
          <w:rFonts w:cs="Times New Roman"/>
        </w:rPr>
      </w:pPr>
      <w:r>
        <w:rPr>
          <w:rFonts w:cs="Times New Roman"/>
        </w:rPr>
        <w:t>Gereja perlu memiliki pedoman tertulis mengenai penggunaan teknologi dalam ibadah.</w:t>
      </w:r>
    </w:p>
    <w:p w:rsidR="00D53774" w:rsidRDefault="00D53774" w:rsidP="00D53774">
      <w:pPr>
        <w:numPr>
          <w:ilvl w:val="0"/>
          <w:numId w:val="44"/>
        </w:numPr>
        <w:spacing w:after="120" w:line="360" w:lineRule="auto"/>
        <w:ind w:left="357" w:hanging="357"/>
        <w:rPr>
          <w:rFonts w:cs="Times New Roman"/>
        </w:rPr>
      </w:pPr>
      <w:r>
        <w:rPr>
          <w:rFonts w:cs="Times New Roman"/>
        </w:rPr>
        <w:t>Setiap penggunaan teknologi harus memiliki tujuan teologis dan pastoral yang jelas.</w:t>
      </w:r>
    </w:p>
    <w:p w:rsidR="00D53774" w:rsidRDefault="00D53774" w:rsidP="00D53774">
      <w:pPr>
        <w:numPr>
          <w:ilvl w:val="0"/>
          <w:numId w:val="44"/>
        </w:numPr>
        <w:spacing w:after="120" w:line="360" w:lineRule="auto"/>
        <w:ind w:left="357" w:hanging="357"/>
        <w:rPr>
          <w:rFonts w:cs="Times New Roman"/>
        </w:rPr>
      </w:pPr>
      <w:r>
        <w:rPr>
          <w:rFonts w:cs="Times New Roman"/>
        </w:rPr>
        <w:t>Tim multimedia perlu mendapat pembinaan rohani dan etika, bukan hanya pelatihan teknis.</w:t>
      </w:r>
    </w:p>
    <w:p w:rsidR="00D53774" w:rsidRDefault="00D53774" w:rsidP="00D53774">
      <w:pPr>
        <w:numPr>
          <w:ilvl w:val="0"/>
          <w:numId w:val="44"/>
        </w:numPr>
        <w:spacing w:after="120" w:line="360" w:lineRule="auto"/>
        <w:ind w:left="357" w:hanging="357"/>
        <w:rPr>
          <w:rFonts w:cs="Times New Roman"/>
        </w:rPr>
      </w:pPr>
      <w:r>
        <w:rPr>
          <w:rFonts w:cs="Times New Roman"/>
        </w:rPr>
        <w:t>Gereja perlu mempertahankan persekutuan fisik dan tidak menganggap streaming sebagai pengganti total komunitas.</w:t>
      </w:r>
    </w:p>
    <w:p w:rsidR="00D53774" w:rsidRDefault="00D53774" w:rsidP="00D53774">
      <w:pPr>
        <w:numPr>
          <w:ilvl w:val="0"/>
          <w:numId w:val="44"/>
        </w:numPr>
        <w:spacing w:after="120" w:line="360" w:lineRule="auto"/>
        <w:ind w:left="357" w:hanging="357"/>
        <w:rPr>
          <w:rFonts w:cs="Times New Roman"/>
        </w:rPr>
      </w:pPr>
      <w:r>
        <w:rPr>
          <w:rFonts w:cs="Times New Roman"/>
        </w:rPr>
        <w:t>Jemaat perlu diajar mengenai literasi digital Kristen dan kemampuan membedakan konten rohani.</w:t>
      </w:r>
    </w:p>
    <w:p w:rsidR="00D53774" w:rsidRDefault="00D53774" w:rsidP="00D53774">
      <w:pPr>
        <w:numPr>
          <w:ilvl w:val="0"/>
          <w:numId w:val="44"/>
        </w:numPr>
        <w:spacing w:after="120" w:line="360" w:lineRule="auto"/>
        <w:ind w:left="357" w:hanging="357"/>
        <w:rPr>
          <w:rFonts w:cs="Times New Roman"/>
        </w:rPr>
      </w:pPr>
      <w:r>
        <w:rPr>
          <w:rFonts w:cs="Times New Roman"/>
        </w:rPr>
        <w:t>Penggunaan AI harus transparan, diperiksa manusia, dan tidak menggantikan tanggung jawab teologis pendeta atau pelayan.</w:t>
      </w:r>
    </w:p>
    <w:p w:rsidR="00D53774" w:rsidRDefault="00D53774" w:rsidP="00D53774">
      <w:pPr>
        <w:numPr>
          <w:ilvl w:val="0"/>
          <w:numId w:val="44"/>
        </w:numPr>
        <w:spacing w:after="120" w:line="360" w:lineRule="auto"/>
        <w:ind w:left="357" w:hanging="357"/>
        <w:rPr>
          <w:rFonts w:cs="Times New Roman"/>
        </w:rPr>
      </w:pPr>
      <w:r>
        <w:rPr>
          <w:rFonts w:cs="Times New Roman"/>
        </w:rPr>
        <w:t>Privasi jemaat harus dijaga, terutama dalam pelayanan doa, konseling, anak-anak, dan kesaksian pribadi.</w:t>
      </w:r>
    </w:p>
    <w:p w:rsidR="00D53774" w:rsidRDefault="00D53774" w:rsidP="00D53774">
      <w:pPr>
        <w:numPr>
          <w:ilvl w:val="0"/>
          <w:numId w:val="44"/>
        </w:numPr>
        <w:spacing w:after="120" w:line="360" w:lineRule="auto"/>
        <w:ind w:left="357" w:hanging="357"/>
        <w:rPr>
          <w:rFonts w:cs="Times New Roman"/>
        </w:rPr>
      </w:pPr>
      <w:r>
        <w:rPr>
          <w:rFonts w:cs="Times New Roman"/>
        </w:rPr>
        <w:t>Persembahan digital harus disertai pilihan tunai, laporan keuangan yang terbuka, perlindungan data donatur, dan bebas dari tekanan maupun janji berkat.</w:t>
      </w:r>
    </w:p>
    <w:p w:rsidR="00D53774" w:rsidRDefault="00D53774" w:rsidP="00D53774">
      <w:pPr>
        <w:numPr>
          <w:ilvl w:val="0"/>
          <w:numId w:val="44"/>
        </w:numPr>
        <w:spacing w:after="120" w:line="360" w:lineRule="auto"/>
        <w:ind w:left="357" w:hanging="357"/>
        <w:rPr>
          <w:rFonts w:cs="Times New Roman"/>
        </w:rPr>
      </w:pPr>
      <w:r>
        <w:rPr>
          <w:rFonts w:cs="Times New Roman"/>
        </w:rPr>
        <w:t>Keberhasilan pelayanan harus diukur dari pemuridan dan buah kehidupan, bukan hanya views, likes, dan subscriber.</w:t>
      </w:r>
    </w:p>
    <w:p w:rsidR="00D53774" w:rsidRDefault="00D53774" w:rsidP="00D53774">
      <w:pPr>
        <w:numPr>
          <w:ilvl w:val="0"/>
          <w:numId w:val="44"/>
        </w:numPr>
        <w:spacing w:after="120" w:line="360" w:lineRule="auto"/>
        <w:ind w:left="357" w:hanging="357"/>
        <w:rPr>
          <w:rFonts w:cs="Times New Roman"/>
        </w:rPr>
      </w:pPr>
      <w:r>
        <w:rPr>
          <w:rFonts w:cs="Times New Roman"/>
        </w:rPr>
        <w:t>Teknologi harus digunakan untuk memperluas akses tanpa meminggirkan jemaat yang memiliki keterbatasan digital.</w:t>
      </w:r>
    </w:p>
    <w:p w:rsidR="00D53774" w:rsidRDefault="00D53774" w:rsidP="00D53774">
      <w:pPr>
        <w:numPr>
          <w:ilvl w:val="0"/>
          <w:numId w:val="44"/>
        </w:numPr>
        <w:spacing w:after="120" w:line="360" w:lineRule="auto"/>
        <w:ind w:left="357" w:hanging="357"/>
        <w:rPr>
          <w:rFonts w:cs="Times New Roman"/>
        </w:rPr>
      </w:pPr>
      <w:r>
        <w:rPr>
          <w:rFonts w:cs="Times New Roman"/>
        </w:rPr>
        <w:lastRenderedPageBreak/>
        <w:t>Gereja perlu terus melakukan evaluasi teologis karena teknologi terus berubah.</w:t>
      </w:r>
    </w:p>
    <w:p w:rsidR="00D53774" w:rsidRDefault="00D53774" w:rsidP="00D53774">
      <w:pPr>
        <w:rPr>
          <w:rFonts w:cs="Times New Roman"/>
        </w:rPr>
        <w:sectPr w:rsidR="00D53774">
          <w:footerReference w:type="default" r:id="rId8"/>
          <w:pgSz w:w="12240" w:h="15840"/>
          <w:pgMar w:top="1701" w:right="1701" w:bottom="1701" w:left="2268" w:header="720" w:footer="720" w:gutter="0"/>
          <w:cols w:space="720"/>
          <w:docGrid w:linePitch="360"/>
        </w:sectPr>
      </w:pPr>
    </w:p>
    <w:p w:rsidR="00D53774" w:rsidRDefault="00D53774" w:rsidP="00D53774">
      <w:pPr>
        <w:rPr>
          <w:rFonts w:cs="Times New Roman"/>
        </w:rPr>
      </w:pPr>
      <w:r>
        <w:rPr>
          <w:rFonts w:cs="Times New Roman"/>
        </w:rPr>
        <w:lastRenderedPageBreak/>
        <w:t>DAFTAR PUSTAKA</w:t>
      </w:r>
    </w:p>
    <w:p w:rsidR="00D53774" w:rsidRDefault="00D53774" w:rsidP="00D53774">
      <w:pPr>
        <w:ind w:left="720" w:hanging="720"/>
        <w:rPr>
          <w:rFonts w:cs="Times New Roman"/>
        </w:rPr>
      </w:pPr>
      <w:r>
        <w:rPr>
          <w:rFonts w:cs="Times New Roman"/>
        </w:rPr>
        <w:t>Anderson, Allan H. 2004. An Introduction to Pentecostalism: Global Charismatic Christianity. Cambridge: Cambridge University Press.</w:t>
      </w:r>
    </w:p>
    <w:p w:rsidR="00D53774" w:rsidRDefault="00D53774" w:rsidP="00D53774">
      <w:pPr>
        <w:ind w:left="720" w:hanging="720"/>
        <w:rPr>
          <w:rFonts w:cs="Times New Roman"/>
        </w:rPr>
      </w:pPr>
      <w:r>
        <w:rPr>
          <w:rFonts w:cs="Times New Roman"/>
        </w:rPr>
        <w:t>Campbell, Heidi A. 2025. “Digital Religion as the Networked Spiritual Infrastructure of Our Religious Futures.” Dalam Redefining Spiritual Spaces in the Age of Technology, 67–80. Springer.</w:t>
      </w:r>
    </w:p>
    <w:p w:rsidR="00D53774" w:rsidRDefault="00D53774" w:rsidP="00D53774">
      <w:pPr>
        <w:ind w:left="720" w:hanging="720"/>
        <w:rPr>
          <w:rFonts w:cs="Times New Roman"/>
        </w:rPr>
      </w:pPr>
      <w:r>
        <w:rPr>
          <w:rFonts w:cs="Times New Roman"/>
        </w:rPr>
        <w:t xml:space="preserve">Campbell, Heidi A., dan Giulia Evolvi. 2020. “Contextualizing Current Digital Religion Research on Emerging Technologies.” Human Behavior and Emerging Technologies 2(1): 5–17. </w:t>
      </w:r>
      <w:hyperlink r:id="rId9" w:history="1">
        <w:r>
          <w:rPr>
            <w:rStyle w:val="Hyperlink"/>
            <w:rFonts w:cs="Times New Roman"/>
          </w:rPr>
          <w:t>https://doi.org/10.1002/hbe2.149</w:t>
        </w:r>
      </w:hyperlink>
      <w:r>
        <w:rPr>
          <w:rFonts w:cs="Times New Roman"/>
        </w:rPr>
        <w:t>.</w:t>
      </w:r>
    </w:p>
    <w:p w:rsidR="00D53774" w:rsidRDefault="00D53774" w:rsidP="00D53774">
      <w:pPr>
        <w:ind w:left="720" w:hanging="720"/>
        <w:rPr>
          <w:rFonts w:cs="Times New Roman"/>
        </w:rPr>
      </w:pPr>
      <w:r>
        <w:rPr>
          <w:rFonts w:cs="Times New Roman"/>
        </w:rPr>
        <w:t>Chan, Simon. 2000. Pentecostal Theology and the Christian Spiritual Tradition. Sheffield: Sheffield Academic Press. Edisi Wipf &amp; Stock juga tersedia.</w:t>
      </w:r>
    </w:p>
    <w:p w:rsidR="00D53774" w:rsidRDefault="00D53774" w:rsidP="00D53774">
      <w:pPr>
        <w:ind w:left="720" w:hanging="720"/>
        <w:rPr>
          <w:rFonts w:cs="Times New Roman"/>
        </w:rPr>
      </w:pPr>
      <w:r>
        <w:rPr>
          <w:rFonts w:cs="Times New Roman"/>
        </w:rPr>
        <w:t xml:space="preserve">Lontoh, Frederich O. L., dan Daniel A. Wibowo. 2025. “Digital Pentecostalism in Indonesia: Transformation of Worship and Virtual Community.” HTS Teologiese Studies/Theological Studies 81(1): e1–e10. </w:t>
      </w:r>
      <w:hyperlink r:id="rId10" w:history="1">
        <w:r>
          <w:rPr>
            <w:rStyle w:val="Hyperlink"/>
            <w:rFonts w:cs="Times New Roman"/>
          </w:rPr>
          <w:t>https://doi.org/10.4102/hts.v81i1.10592</w:t>
        </w:r>
      </w:hyperlink>
      <w:r>
        <w:rPr>
          <w:rFonts w:cs="Times New Roman"/>
        </w:rPr>
        <w:t>.</w:t>
      </w:r>
    </w:p>
    <w:p w:rsidR="00D53774" w:rsidRDefault="00D53774" w:rsidP="00D53774">
      <w:pPr>
        <w:ind w:left="720" w:hanging="720"/>
        <w:rPr>
          <w:rFonts w:cs="Times New Roman"/>
        </w:rPr>
      </w:pPr>
      <w:r>
        <w:rPr>
          <w:rFonts w:cs="Times New Roman"/>
        </w:rPr>
        <w:t>Macchia, Frank D. 2006. Baptized in the Spirit: A Global Pentecostal Theology. Grand Rapids: Zondervan.</w:t>
      </w:r>
    </w:p>
    <w:p w:rsidR="00D53774" w:rsidRDefault="00D53774" w:rsidP="00D53774">
      <w:pPr>
        <w:ind w:left="720" w:hanging="720"/>
        <w:rPr>
          <w:rFonts w:cs="Times New Roman"/>
        </w:rPr>
      </w:pPr>
      <w:r>
        <w:rPr>
          <w:rFonts w:cs="Times New Roman"/>
        </w:rPr>
        <w:t xml:space="preserve">Mudau, Ndidzulafhi, dan Rendani Tshifhumulo. 2025. “Technology’s Influence on Pentecostalism: Shaping Perception and Religious Impact.” African Journal of Pentecostal Studies 2(1), a50. </w:t>
      </w:r>
      <w:hyperlink r:id="rId11" w:history="1">
        <w:r>
          <w:rPr>
            <w:rStyle w:val="Hyperlink"/>
            <w:rFonts w:cs="Times New Roman"/>
          </w:rPr>
          <w:t>https://doi.org/10.4102/ajops.v2i1.50</w:t>
        </w:r>
      </w:hyperlink>
      <w:r>
        <w:rPr>
          <w:rFonts w:cs="Times New Roman"/>
        </w:rPr>
        <w:t>.</w:t>
      </w:r>
    </w:p>
    <w:p w:rsidR="00D53774" w:rsidRDefault="00D53774" w:rsidP="00D53774">
      <w:pPr>
        <w:ind w:left="720" w:hanging="720"/>
        <w:rPr>
          <w:rFonts w:cs="Times New Roman"/>
        </w:rPr>
      </w:pPr>
      <w:r>
        <w:rPr>
          <w:rFonts w:cs="Times New Roman"/>
        </w:rPr>
        <w:t>Smith, James K. A., dan Amos Yong, eds. 2010. Science and the Spirit: A Pentecostal Engagement with Science. Bloomington: Indiana University Press.</w:t>
      </w:r>
    </w:p>
    <w:p w:rsidR="00D53774" w:rsidRDefault="00D53774" w:rsidP="00D53774">
      <w:pPr>
        <w:ind w:left="720" w:hanging="720"/>
        <w:rPr>
          <w:rFonts w:cs="Times New Roman"/>
        </w:rPr>
      </w:pPr>
      <w:r>
        <w:rPr>
          <w:rFonts w:cs="Times New Roman"/>
        </w:rPr>
        <w:t xml:space="preserve">Togarasei, Lovemore. 2012. “Mediating the Gospel: Pentecostal Christianity and Media Technology in Botswana and Zimbabwe.” Journal of Contemporary Religion 27(2): 257–274. </w:t>
      </w:r>
      <w:hyperlink r:id="rId12" w:history="1">
        <w:r>
          <w:rPr>
            <w:rStyle w:val="Hyperlink"/>
            <w:rFonts w:cs="Times New Roman"/>
          </w:rPr>
          <w:t>https://doi.org/10.1080/13537903.2012.675740</w:t>
        </w:r>
      </w:hyperlink>
      <w:r>
        <w:rPr>
          <w:rFonts w:cs="Times New Roman"/>
        </w:rPr>
        <w:t>.</w:t>
      </w:r>
    </w:p>
    <w:p w:rsidR="00D53774" w:rsidRDefault="00D53774" w:rsidP="00D53774">
      <w:pPr>
        <w:ind w:left="720" w:hanging="720"/>
        <w:rPr>
          <w:rFonts w:cs="Times New Roman"/>
        </w:rPr>
      </w:pPr>
      <w:r>
        <w:rPr>
          <w:rFonts w:cs="Times New Roman"/>
        </w:rPr>
        <w:t xml:space="preserve">Trammell, Jim Y. 2024. “Look Up on Me: Analyzing Worship Media Technologies.” Journal of Media and Religion 22(2–4): 68–77. </w:t>
      </w:r>
      <w:hyperlink r:id="rId13" w:history="1">
        <w:r>
          <w:rPr>
            <w:rStyle w:val="Hyperlink"/>
            <w:rFonts w:cs="Times New Roman"/>
          </w:rPr>
          <w:t>https://doi.org/10.1080/15348423.2024.2357973</w:t>
        </w:r>
      </w:hyperlink>
      <w:r>
        <w:rPr>
          <w:rFonts w:cs="Times New Roman"/>
        </w:rPr>
        <w:t>.</w:t>
      </w:r>
    </w:p>
    <w:p w:rsidR="00D53774" w:rsidRDefault="00D53774" w:rsidP="00D53774">
      <w:pPr>
        <w:ind w:left="720" w:hanging="720"/>
        <w:rPr>
          <w:rFonts w:cs="Times New Roman"/>
        </w:rPr>
      </w:pPr>
      <w:r>
        <w:rPr>
          <w:rFonts w:cs="Times New Roman"/>
        </w:rPr>
        <w:t>Yong, Amos. 2007. “Poured Out on All Flesh: Pentecostalism and the Possibility of Global Theology.” PentecoStudies 6(1): 16–46.</w:t>
      </w:r>
    </w:p>
    <w:p w:rsidR="00D53774" w:rsidRDefault="00D53774" w:rsidP="00D53774">
      <w:pPr>
        <w:ind w:left="720" w:hanging="720"/>
        <w:rPr>
          <w:rFonts w:cs="Times New Roman"/>
        </w:rPr>
      </w:pPr>
      <w:r>
        <w:rPr>
          <w:rFonts w:cs="Times New Roman"/>
        </w:rPr>
        <w:t>Yong, Amos. 2007. “The Spirit of Hospitality: Pentecostal Perspectives toward a Performative Theology of Interreligious Encounter.” Journal of Pentecostal Studies 35(1).</w:t>
      </w:r>
    </w:p>
    <w:p w:rsidR="00D53774" w:rsidRDefault="00D53774" w:rsidP="00D53774">
      <w:pPr>
        <w:ind w:left="720" w:hanging="720"/>
        <w:rPr>
          <w:rFonts w:cs="Times New Roman"/>
        </w:rPr>
      </w:pPr>
      <w:r>
        <w:rPr>
          <w:rFonts w:cs="Times New Roman"/>
        </w:rPr>
        <w:t>Yong, Amos. 2008. “Natural Laws and Divine Intervention: What Difference Does Being Pentecostal or Charismatic Make?” Zygon 43(4): 961–989.</w:t>
      </w:r>
    </w:p>
    <w:p w:rsidR="00D53774" w:rsidRDefault="00D53774" w:rsidP="00D53774">
      <w:pPr>
        <w:ind w:left="720" w:hanging="720"/>
        <w:rPr>
          <w:rFonts w:cs="Times New Roman"/>
        </w:rPr>
      </w:pPr>
      <w:r>
        <w:rPr>
          <w:rFonts w:cs="Times New Roman"/>
        </w:rPr>
        <w:lastRenderedPageBreak/>
        <w:t xml:space="preserve">Yong, Amos. 2016. “Reflecting and Confessing in the Spirit: Called to Transforming Discipleship.” International Review of Mission 105(2): 169–183. </w:t>
      </w:r>
      <w:hyperlink r:id="rId14" w:history="1">
        <w:r>
          <w:rPr>
            <w:rStyle w:val="Hyperlink"/>
            <w:rFonts w:cs="Times New Roman"/>
          </w:rPr>
          <w:t>https://doi.org/10.1111/irom.12142</w:t>
        </w:r>
      </w:hyperlink>
      <w:r>
        <w:rPr>
          <w:rFonts w:cs="Times New Roman"/>
        </w:rPr>
        <w:t>.</w:t>
      </w:r>
    </w:p>
    <w:p w:rsidR="009C35A1" w:rsidRDefault="009C35A1" w:rsidP="00AF4A7C">
      <w:pPr>
        <w:pStyle w:val="Heading1"/>
      </w:pPr>
    </w:p>
    <w:sectPr w:rsidR="009C35A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750B" w:rsidRDefault="008F750B" w:rsidP="00D53774">
      <w:pPr>
        <w:spacing w:after="0" w:line="240" w:lineRule="auto"/>
      </w:pPr>
      <w:r>
        <w:separator/>
      </w:r>
    </w:p>
  </w:endnote>
  <w:endnote w:type="continuationSeparator" w:id="0">
    <w:p w:rsidR="008F750B" w:rsidRDefault="008F750B" w:rsidP="00D53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790" w:rsidRDefault="00DE0790">
    <w:pPr>
      <w:pStyle w:val="Footer"/>
      <w:jc w:val="center"/>
    </w:pPr>
    <w:r>
      <w:fldChar w:fldCharType="begin"/>
    </w:r>
    <w:r>
      <w:instrText>PAGE</w:instrText>
    </w:r>
    <w:r>
      <w:fldChar w:fldCharType="separate"/>
    </w:r>
    <w:r w:rsidR="00E96E70">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750B" w:rsidRDefault="008F750B" w:rsidP="00D53774">
      <w:pPr>
        <w:spacing w:after="0" w:line="240" w:lineRule="auto"/>
      </w:pPr>
      <w:r>
        <w:separator/>
      </w:r>
    </w:p>
  </w:footnote>
  <w:footnote w:type="continuationSeparator" w:id="0">
    <w:p w:rsidR="008F750B" w:rsidRDefault="008F750B" w:rsidP="00D53774">
      <w:pPr>
        <w:spacing w:after="0" w:line="240" w:lineRule="auto"/>
      </w:pPr>
      <w:r>
        <w:continuationSeparator/>
      </w:r>
    </w:p>
  </w:footnote>
  <w:footnote w:id="1">
    <w:p w:rsidR="00DE0790" w:rsidRDefault="00DE0790" w:rsidP="00D53774">
      <w:r>
        <w:footnoteRef/>
      </w:r>
      <w:r>
        <w:t>Bob Sorge, Exploring Worship: A Practical Guide to Praise &amp; Worship (2018).</w:t>
      </w:r>
    </w:p>
  </w:footnote>
  <w:footnote w:id="2">
    <w:p w:rsidR="00DE0790" w:rsidRDefault="00DE0790" w:rsidP="00D53774">
      <w:r>
        <w:footnoteRef/>
      </w:r>
      <w:r>
        <w:t>Monique M. Ingalls dan Amos Yong, The Spirit of Praise: Music and Worship in Global Pentecostal-Charismatic Christianity (2015).</w:t>
      </w:r>
    </w:p>
  </w:footnote>
  <w:footnote w:id="3">
    <w:p w:rsidR="00DE0790" w:rsidRDefault="00DE0790" w:rsidP="00D53774">
      <w:r>
        <w:footnoteRef/>
      </w:r>
      <w:r>
        <w:t>Warren W. Wiersbe, Real Worship: It Will Transform Your Life (1986).</w:t>
      </w:r>
    </w:p>
  </w:footnote>
  <w:footnote w:id="4">
    <w:p w:rsidR="00DE0790" w:rsidRDefault="00DE0790" w:rsidP="00D53774">
      <w:r>
        <w:footnoteRef/>
      </w:r>
      <w:r>
        <w:t>A. W. Tozer, Whatever Happened to Worship? A Call to True Worship (2006).</w:t>
      </w:r>
    </w:p>
  </w:footnote>
  <w:footnote w:id="5">
    <w:p w:rsidR="00DE0790" w:rsidRDefault="00DE0790" w:rsidP="00D53774">
      <w:r>
        <w:footnoteRef/>
      </w:r>
      <w:r>
        <w:t>Bob Sorge, Exploring Worship: A Practical Guide to Praise &amp; Worship (2018).</w:t>
      </w:r>
    </w:p>
  </w:footnote>
  <w:footnote w:id="6">
    <w:p w:rsidR="00DE0790" w:rsidRDefault="00DE0790" w:rsidP="00D53774">
      <w:r>
        <w:footnoteRef/>
      </w:r>
      <w:r>
        <w:t>Monique M. Ingalls dan Amos Yong, The Spirit of Praise: Music and Worship in Global Pentecostal-Charismatic Christianity (2015).</w:t>
      </w:r>
    </w:p>
  </w:footnote>
  <w:footnote w:id="7">
    <w:p w:rsidR="00DE0790" w:rsidRDefault="00DE0790" w:rsidP="00D53774">
      <w:r>
        <w:footnoteRef/>
      </w:r>
      <w:r>
        <w:t>Ingalls dan Yong, The Spirit of Praise (2015).</w:t>
      </w:r>
    </w:p>
  </w:footnote>
  <w:footnote w:id="8">
    <w:p w:rsidR="00DE0790" w:rsidRDefault="00DE0790" w:rsidP="00D53774">
      <w:r>
        <w:footnoteRef/>
      </w:r>
      <w:r>
        <w:t>Bob Sorge, Exploring Worship: A Practical Guide to Praise &amp; Worship, edisi ke-3 (Oasis House, 2018).</w:t>
      </w:r>
    </w:p>
  </w:footnote>
  <w:footnote w:id="9">
    <w:p w:rsidR="00DE0790" w:rsidRDefault="00DE0790" w:rsidP="00D53774">
      <w:r>
        <w:footnoteRef/>
      </w:r>
      <w:r>
        <w:t>Warren W. Wiersbe, Real Worship: It Will Transform Your Life (Wheaton: Victor Books, 1986).</w:t>
      </w:r>
    </w:p>
  </w:footnote>
  <w:footnote w:id="10">
    <w:p w:rsidR="00DE0790" w:rsidRDefault="00DE0790" w:rsidP="00D53774">
      <w:r>
        <w:footnoteRef/>
      </w:r>
      <w:r>
        <w:t>Monique M. Ingalls dan Amos Yong, ed., The Spirit of Praise: Music and Worship in Global Pentecostal-Charismatic Christianity (University Park: Pennsylvania State University Press, 2015).</w:t>
      </w:r>
    </w:p>
  </w:footnote>
  <w:footnote w:id="11">
    <w:p w:rsidR="00DE0790" w:rsidRDefault="00DE0790" w:rsidP="00D53774">
      <w:r>
        <w:footnoteRef/>
      </w:r>
      <w:r>
        <w:t>Bob Sorge, Exploring Worship: A Practical Guide to Praise &amp; Worship (2018).</w:t>
      </w:r>
    </w:p>
  </w:footnote>
  <w:footnote w:id="12">
    <w:p w:rsidR="00DE0790" w:rsidRDefault="00DE0790" w:rsidP="00D53774">
      <w:r>
        <w:footnoteRef/>
      </w:r>
      <w:r>
        <w:t>Judson Cornwall, Let Us Praise/Let Us Worship: Two Books Within One Cover! (2006).</w:t>
      </w:r>
    </w:p>
  </w:footnote>
  <w:footnote w:id="13">
    <w:p w:rsidR="00DE0790" w:rsidRDefault="00DE0790" w:rsidP="00D53774">
      <w:r>
        <w:footnoteRef/>
      </w:r>
      <w:r>
        <w:t>Bob Sorge, Exploring Worship: A Practical Guide to Praise &amp; Worship (2018).</w:t>
      </w:r>
    </w:p>
  </w:footnote>
  <w:footnote w:id="14">
    <w:p w:rsidR="00DE0790" w:rsidRDefault="00DE0790" w:rsidP="00D53774">
      <w:r>
        <w:footnoteRef/>
      </w:r>
      <w:r>
        <w:t>Ingalls dan Yong, The Spirit of Praise (2015).</w:t>
      </w:r>
    </w:p>
  </w:footnote>
  <w:footnote w:id="15">
    <w:p w:rsidR="00DE0790" w:rsidRDefault="00DE0790" w:rsidP="00D53774">
      <w:r>
        <w:footnoteRef/>
      </w:r>
      <w:r>
        <w:t>Hawn, Gather Into One (2003).</w:t>
      </w:r>
    </w:p>
  </w:footnote>
  <w:footnote w:id="16">
    <w:p w:rsidR="00DE0790" w:rsidRDefault="00DE0790" w:rsidP="00D53774">
      <w:r>
        <w:footnoteRef/>
      </w:r>
      <w:r>
        <w:t>C. Michael Hawn, Gather Into One: Praying and Singing Globally (Grand Rapids: Eerdmans, 2003).</w:t>
      </w:r>
    </w:p>
  </w:footnote>
  <w:footnote w:id="17">
    <w:p w:rsidR="00DE0790" w:rsidRDefault="00DE0790" w:rsidP="00D53774">
      <w:r>
        <w:footnoteRef/>
      </w:r>
      <w:r>
        <w:t>Hawn, Gather Into One (2003).</w:t>
      </w:r>
    </w:p>
  </w:footnote>
  <w:footnote w:id="18">
    <w:p w:rsidR="00DE0790" w:rsidRDefault="00DE0790" w:rsidP="00D53774">
      <w:r>
        <w:footnoteRef/>
      </w:r>
      <w:r>
        <w:t>Warren W. Wiersbe, Real Worship: It Will Transform Your Life (1986).</w:t>
      </w:r>
    </w:p>
  </w:footnote>
  <w:footnote w:id="19">
    <w:p w:rsidR="00DE0790" w:rsidRDefault="00DE0790" w:rsidP="00D53774">
      <w:r>
        <w:footnoteRef/>
      </w:r>
      <w:r>
        <w:t>Bob Sorge, Exploring Worship: A Practical Guide to Praise &amp; Worship (2018).</w:t>
      </w:r>
    </w:p>
  </w:footnote>
  <w:footnote w:id="20">
    <w:p w:rsidR="00DE0790" w:rsidRDefault="00DE0790" w:rsidP="00D53774">
      <w:r>
        <w:footnoteRef/>
      </w:r>
      <w:r>
        <w:t>A. W. Tozer, Whatever Happened to Worship? A Call to True Worship (2006).</w:t>
      </w:r>
    </w:p>
  </w:footnote>
  <w:footnote w:id="21">
    <w:p w:rsidR="00DE0790" w:rsidRDefault="00DE0790" w:rsidP="00D53774">
      <w:r>
        <w:footnoteRef/>
      </w:r>
      <w:r>
        <w:t>Sorge, Exploring Worship (2018).</w:t>
      </w:r>
    </w:p>
  </w:footnote>
  <w:footnote w:id="22">
    <w:p w:rsidR="00DE0790" w:rsidRDefault="00DE0790" w:rsidP="00D53774">
      <w:r>
        <w:footnoteRef/>
      </w:r>
      <w:r>
        <w:t>Sorge, Exploring Worship (2018).</w:t>
      </w:r>
    </w:p>
  </w:footnote>
  <w:footnote w:id="23">
    <w:p w:rsidR="00DE0790" w:rsidRDefault="00DE0790" w:rsidP="00D53774">
      <w:r>
        <w:footnoteRef/>
      </w:r>
      <w:r>
        <w:t>Sorge, Exploring Worship (2018).</w:t>
      </w:r>
    </w:p>
  </w:footnote>
  <w:footnote w:id="24">
    <w:p w:rsidR="00DE0790" w:rsidRDefault="00DE0790" w:rsidP="00D53774">
      <w:r>
        <w:footnoteRef/>
      </w:r>
      <w:r>
        <w:t>Andreas Christanday, Lebih Mengerti Lagi tentang Pujian dan Penyembahan: Inti dan Tujuannya dalam Kebaktian (2009).</w:t>
      </w:r>
    </w:p>
  </w:footnote>
  <w:footnote w:id="25">
    <w:p w:rsidR="00DE0790" w:rsidRDefault="00DE0790" w:rsidP="00D53774">
      <w:r>
        <w:footnoteRef/>
      </w:r>
      <w:r>
        <w:t>Monique M. Ingalls dan Amos Yong, The Spirit of Praise: Music and Worship in Global Pentecostal-Charismatic Christianity (2015).</w:t>
      </w:r>
    </w:p>
  </w:footnote>
  <w:footnote w:id="26">
    <w:p w:rsidR="00DE0790" w:rsidRDefault="00DE0790" w:rsidP="00D53774">
      <w:r>
        <w:footnoteRef/>
      </w:r>
      <w:r>
        <w:t>A. W. Tozer, Whatever Happened to Worship? A Call to True Worship (2006).</w:t>
      </w:r>
    </w:p>
  </w:footnote>
  <w:footnote w:id="27">
    <w:p w:rsidR="00DE0790" w:rsidRDefault="00DE0790" w:rsidP="00D53774">
      <w:r>
        <w:footnoteRef/>
      </w:r>
      <w:r>
        <w:t>Warren W. Wiersbe, Real Worship: It Will Transform Your Life (1986).</w:t>
      </w:r>
    </w:p>
  </w:footnote>
  <w:footnote w:id="28">
    <w:p w:rsidR="00DE0790" w:rsidRDefault="00DE0790" w:rsidP="00D53774">
      <w:r>
        <w:footnoteRef/>
      </w:r>
      <w:r>
        <w:t>Judson Cornwall, Let Us Praise/Let Us Worship: Two Books Within One Cover! (2006).</w:t>
      </w:r>
    </w:p>
  </w:footnote>
  <w:footnote w:id="29">
    <w:p w:rsidR="00DE0790" w:rsidRDefault="00DE0790" w:rsidP="00D53774">
      <w:r>
        <w:footnoteRef/>
      </w:r>
      <w:r>
        <w:t>Bob Sorge, Exploring Worship: A Practical Guide to Praise &amp; Worship (2018).</w:t>
      </w:r>
    </w:p>
  </w:footnote>
  <w:footnote w:id="30">
    <w:p w:rsidR="00DE0790" w:rsidRDefault="00DE0790" w:rsidP="00D53774">
      <w:r>
        <w:footnoteRef/>
      </w:r>
      <w:r>
        <w:t>Andreas Christanday, Lebih Mengerti Lagi tentang Pujian dan Penyembahan: Inti dan Tujuannya dalam Kebaktian (2009).</w:t>
      </w:r>
    </w:p>
  </w:footnote>
  <w:footnote w:id="31">
    <w:p w:rsidR="00DE0790" w:rsidRDefault="00DE0790" w:rsidP="00D53774">
      <w:r>
        <w:footnoteRef/>
      </w:r>
      <w:r>
        <w:t>Monique M. Ingalls dan Amos Yong, The Spirit of Praise: Music and Worship in Global Pentecostal-Charismatic Christianity (2015).</w:t>
      </w:r>
    </w:p>
  </w:footnote>
  <w:footnote w:id="32">
    <w:p w:rsidR="00DE0790" w:rsidRDefault="00DE0790" w:rsidP="00D53774">
      <w:r>
        <w:rPr>
          <w:rStyle w:val="FootnoteReference"/>
        </w:rPr>
        <w:footnoteRef/>
      </w:r>
      <w:r>
        <w:rPr>
          <w:rFonts w:ascii="Times New Roman" w:eastAsia="Times New Roman" w:hAnsi="Times New Roman" w:cs="Times New Roman"/>
          <w:sz w:val="20"/>
          <w:szCs w:val="20"/>
        </w:rPr>
        <w:t>Simon Chan, Pentecostal Theology and the Christian Spiritual Tradition (Sheffield: Sheffield Academic Press, 2000).</w:t>
      </w:r>
    </w:p>
  </w:footnote>
  <w:footnote w:id="33">
    <w:p w:rsidR="00DE0790" w:rsidRDefault="00DE0790" w:rsidP="00D53774">
      <w:r>
        <w:rPr>
          <w:rStyle w:val="FootnoteReference"/>
        </w:rPr>
        <w:footnoteRef/>
      </w:r>
      <w:r>
        <w:rPr>
          <w:rFonts w:ascii="Times New Roman" w:eastAsia="Times New Roman" w:hAnsi="Times New Roman" w:cs="Times New Roman"/>
          <w:sz w:val="20"/>
          <w:szCs w:val="20"/>
        </w:rPr>
        <w:t>Harvey Cox, Fire from Heaven: The Rise of Pentecostal Spirituality and the Reshaping of Religion in the Twenty-First Century (Cambridge, MA: Da Capo Press, 2001).</w:t>
      </w:r>
    </w:p>
  </w:footnote>
  <w:footnote w:id="34">
    <w:p w:rsidR="00DE0790" w:rsidRDefault="00DE0790" w:rsidP="00D53774">
      <w:r>
        <w:rPr>
          <w:rStyle w:val="FootnoteReference"/>
        </w:rPr>
        <w:footnoteRef/>
      </w:r>
      <w:r>
        <w:rPr>
          <w:rFonts w:ascii="Times New Roman" w:eastAsia="Times New Roman" w:hAnsi="Times New Roman" w:cs="Times New Roman"/>
          <w:sz w:val="20"/>
          <w:szCs w:val="20"/>
        </w:rPr>
        <w:t>Allan Anderson, An Introduction to Pentecostalism: Global Charismatic Christianity, 2nd ed. (Cambridge: Cambridge University Press, 2014).</w:t>
      </w:r>
    </w:p>
  </w:footnote>
  <w:footnote w:id="35">
    <w:p w:rsidR="00DE0790" w:rsidRDefault="00DE0790" w:rsidP="00D53774">
      <w:r>
        <w:rPr>
          <w:rStyle w:val="FootnoteReference"/>
        </w:rPr>
        <w:footnoteRef/>
      </w:r>
      <w:r>
        <w:rPr>
          <w:rFonts w:ascii="Times New Roman" w:eastAsia="Times New Roman" w:hAnsi="Times New Roman" w:cs="Times New Roman"/>
          <w:sz w:val="20"/>
          <w:szCs w:val="20"/>
        </w:rPr>
        <w:t>Fredy Simanjuntak, "Menelisik Spiritualitas Gerakan Pentakostal-Kharismatik dalam Potret Megachurch di Indonesia," Diegesis: Jurnal Teologi Kharismatika 6, no. 2 (2023).</w:t>
      </w:r>
    </w:p>
  </w:footnote>
  <w:footnote w:id="36">
    <w:p w:rsidR="00DE0790" w:rsidRDefault="00DE0790" w:rsidP="00D53774">
      <w:r>
        <w:rPr>
          <w:rStyle w:val="FootnoteReference"/>
        </w:rPr>
        <w:footnoteRef/>
      </w:r>
      <w:r>
        <w:rPr>
          <w:rFonts w:ascii="Times New Roman" w:eastAsia="Times New Roman" w:hAnsi="Times New Roman" w:cs="Times New Roman"/>
          <w:sz w:val="20"/>
          <w:szCs w:val="20"/>
        </w:rPr>
        <w:t>Jeanne Halgren Kilde, When Church Became Theatre: The Transformation of Evangelical Architecture and Worship in Nineteenth-Century America (New York: Oxford University Press, 2002).</w:t>
      </w:r>
    </w:p>
  </w:footnote>
  <w:footnote w:id="37">
    <w:p w:rsidR="00DE0790" w:rsidRDefault="00DE0790" w:rsidP="00D53774">
      <w:r>
        <w:rPr>
          <w:rStyle w:val="FootnoteReference"/>
        </w:rPr>
        <w:footnoteRef/>
      </w:r>
      <w:r>
        <w:rPr>
          <w:rFonts w:ascii="Times New Roman" w:eastAsia="Times New Roman" w:hAnsi="Times New Roman" w:cs="Times New Roman"/>
          <w:sz w:val="20"/>
          <w:szCs w:val="20"/>
        </w:rPr>
        <w:t>James K. A. Smith, Desiring the Kingdom: Worship, Worldview, and Cultural Formation (Grand Rapids, MI: Baker Academic, 2009).</w:t>
      </w:r>
    </w:p>
  </w:footnote>
  <w:footnote w:id="38">
    <w:p w:rsidR="00DE0790" w:rsidRDefault="00DE0790" w:rsidP="00D53774">
      <w:r>
        <w:rPr>
          <w:rStyle w:val="FootnoteReference"/>
        </w:rPr>
        <w:footnoteRef/>
      </w:r>
      <w:r>
        <w:rPr>
          <w:rFonts w:ascii="Times New Roman" w:eastAsia="Times New Roman" w:hAnsi="Times New Roman" w:cs="Times New Roman"/>
          <w:sz w:val="20"/>
          <w:szCs w:val="20"/>
        </w:rPr>
        <w:t>Miroslav Volf, Exclusion and Embrace: A Theological Exploration of Identity, Otherness, and Reconciliation (Nashville: Abingdon Press, 1996).</w:t>
      </w:r>
    </w:p>
  </w:footnote>
  <w:footnote w:id="39">
    <w:p w:rsidR="00DE0790" w:rsidRDefault="00DE0790" w:rsidP="00D53774">
      <w:r>
        <w:rPr>
          <w:rStyle w:val="FootnoteReference"/>
        </w:rPr>
        <w:footnoteRef/>
      </w:r>
      <w:r>
        <w:rPr>
          <w:rFonts w:ascii="Times New Roman" w:eastAsia="Times New Roman" w:hAnsi="Times New Roman" w:cs="Times New Roman"/>
          <w:sz w:val="20"/>
          <w:szCs w:val="20"/>
        </w:rPr>
        <w:t>Grant Wacker, Heaven Below: Early Pentecostals and American Culture (Cambridge, MA: Harvard University Press, 2001).</w:t>
      </w:r>
    </w:p>
  </w:footnote>
  <w:footnote w:id="40">
    <w:p w:rsidR="00DE0790" w:rsidRDefault="00DE0790" w:rsidP="00D53774">
      <w:r>
        <w:rPr>
          <w:rStyle w:val="FootnoteReference"/>
        </w:rPr>
        <w:footnoteRef/>
      </w:r>
      <w:r>
        <w:rPr>
          <w:rFonts w:ascii="Times New Roman" w:eastAsia="Times New Roman" w:hAnsi="Times New Roman" w:cs="Times New Roman"/>
          <w:sz w:val="20"/>
          <w:szCs w:val="20"/>
        </w:rPr>
        <w:t>Richard Kieckhefer, Theology in Stone: Church Architecture from Byzantium to Berkeley (New York: Oxford University Press, 2004).</w:t>
      </w:r>
    </w:p>
  </w:footnote>
  <w:footnote w:id="41">
    <w:p w:rsidR="00DE0790" w:rsidRDefault="00DE0790" w:rsidP="00D53774">
      <w:r>
        <w:rPr>
          <w:rStyle w:val="FootnoteReference"/>
        </w:rPr>
        <w:footnoteRef/>
      </w:r>
      <w:r>
        <w:rPr>
          <w:rFonts w:ascii="Times New Roman" w:eastAsia="Times New Roman" w:hAnsi="Times New Roman" w:cs="Times New Roman"/>
          <w:sz w:val="20"/>
          <w:szCs w:val="20"/>
        </w:rPr>
        <w:t>Ronald J. Sider, Rich Christians in an Age of Hunger: Moving from Affluence to Generosity, 6th ed. (Nashville: Thomas Nelson, 2015).</w:t>
      </w:r>
    </w:p>
  </w:footnote>
  <w:footnote w:id="42">
    <w:p w:rsidR="00DE0790" w:rsidRDefault="00DE0790" w:rsidP="00D53774">
      <w:r>
        <w:rPr>
          <w:rStyle w:val="FootnoteReference"/>
        </w:rPr>
        <w:footnoteRef/>
      </w:r>
      <w:r>
        <w:rPr>
          <w:rFonts w:ascii="Times New Roman" w:eastAsia="Times New Roman" w:hAnsi="Times New Roman" w:cs="Times New Roman"/>
          <w:sz w:val="20"/>
          <w:szCs w:val="20"/>
        </w:rPr>
        <w:t>David J. Bosch, Transforming Mission: Paradigm Shifts in Theology of Mission (Maryknoll, NY: Orbis Books, 1991).</w:t>
      </w:r>
    </w:p>
  </w:footnote>
  <w:footnote w:id="43">
    <w:p w:rsidR="00DE0790" w:rsidRDefault="00DE0790" w:rsidP="00D53774">
      <w:r>
        <w:rPr>
          <w:rStyle w:val="FootnoteReference"/>
        </w:rPr>
        <w:footnoteRef/>
      </w:r>
      <w:r>
        <w:rPr>
          <w:rFonts w:ascii="Times New Roman" w:eastAsia="Times New Roman" w:hAnsi="Times New Roman" w:cs="Times New Roman"/>
          <w:sz w:val="20"/>
          <w:szCs w:val="20"/>
        </w:rPr>
        <w:t>Edward A. Sövik, Architecture for Worship (Minneapolis: Augsburg Publishing House, 1973).</w:t>
      </w:r>
    </w:p>
  </w:footnote>
  <w:footnote w:id="44">
    <w:p w:rsidR="00DE0790" w:rsidRDefault="00DE0790" w:rsidP="00D53774">
      <w:pPr>
        <w:pStyle w:val="FootnoteText"/>
      </w:pPr>
      <w:r>
        <w:rPr>
          <w:rStyle w:val="FootnoteReference"/>
        </w:rPr>
        <w:footnoteRef/>
      </w:r>
      <w:r>
        <w:t xml:space="preserve"> Frederich O. L. Lontoh dan Daniel A. Wibowo, “Digital Pentecostalism in Indonesia: Transformation of Worship and Virtual Community,” HTS Teologiese Studies/Theological Studies 81, no. 1 (2025): e1–e10, https://doi.org/10.4102/hts.v81i1.10592.</w:t>
      </w:r>
    </w:p>
  </w:footnote>
  <w:footnote w:id="45">
    <w:p w:rsidR="00DE0790" w:rsidRDefault="00DE0790" w:rsidP="00D53774">
      <w:pPr>
        <w:pStyle w:val="FootnoteText"/>
      </w:pPr>
      <w:r>
        <w:rPr>
          <w:rStyle w:val="FootnoteReference"/>
        </w:rPr>
        <w:footnoteRef/>
      </w:r>
      <w:r>
        <w:t xml:space="preserve"> Ndidzulafhi Mudau dan Rendani Tshifhumulo, “Technology’s Influence on Pentecostalism: Shaping Perception and Religious Impact,” African Journal of Pentecostal Studies 2, no. 1 (2025): a50, https://doi.org/10.4102/ajops.v2i1.50.</w:t>
      </w:r>
    </w:p>
  </w:footnote>
  <w:footnote w:id="46">
    <w:p w:rsidR="00DE0790" w:rsidRDefault="00DE0790" w:rsidP="00D53774">
      <w:pPr>
        <w:pStyle w:val="FootnoteText"/>
      </w:pPr>
      <w:r>
        <w:rPr>
          <w:rStyle w:val="FootnoteReference"/>
        </w:rPr>
        <w:footnoteRef/>
      </w:r>
      <w:r>
        <w:t xml:space="preserve"> Alkitab, Roma 12:1–2.</w:t>
      </w:r>
    </w:p>
  </w:footnote>
  <w:footnote w:id="47">
    <w:p w:rsidR="00DE0790" w:rsidRDefault="00DE0790" w:rsidP="00D53774">
      <w:pPr>
        <w:pStyle w:val="FootnoteText"/>
      </w:pPr>
      <w:r>
        <w:rPr>
          <w:rStyle w:val="FootnoteReference"/>
        </w:rPr>
        <w:footnoteRef/>
      </w:r>
      <w:r>
        <w:t xml:space="preserve"> Alkitab, Yohanes 4:23–24.</w:t>
      </w:r>
    </w:p>
  </w:footnote>
  <w:footnote w:id="48">
    <w:p w:rsidR="00DE0790" w:rsidRDefault="00DE0790" w:rsidP="00D53774">
      <w:pPr>
        <w:pStyle w:val="FootnoteText"/>
      </w:pPr>
      <w:r>
        <w:rPr>
          <w:rStyle w:val="FootnoteReference"/>
        </w:rPr>
        <w:footnoteRef/>
      </w:r>
      <w:r>
        <w:t xml:space="preserve"> Alkitab, 1 Korintus 12–14, khususnya 1 Korintus 14:26–40.</w:t>
      </w:r>
    </w:p>
  </w:footnote>
  <w:footnote w:id="49">
    <w:p w:rsidR="00DE0790" w:rsidRDefault="00DE0790" w:rsidP="00D53774">
      <w:pPr>
        <w:pStyle w:val="FootnoteText"/>
      </w:pPr>
      <w:r>
        <w:rPr>
          <w:rStyle w:val="FootnoteReference"/>
        </w:rPr>
        <w:footnoteRef/>
      </w:r>
      <w:r>
        <w:t xml:space="preserve"> Alkitab, 1 Korintus 14:40.</w:t>
      </w:r>
    </w:p>
  </w:footnote>
  <w:footnote w:id="50">
    <w:p w:rsidR="00DE0790" w:rsidRDefault="00DE0790" w:rsidP="00D53774">
      <w:pPr>
        <w:pStyle w:val="FootnoteText"/>
      </w:pPr>
      <w:r>
        <w:rPr>
          <w:rStyle w:val="FootnoteReference"/>
        </w:rPr>
        <w:footnoteRef/>
      </w:r>
      <w:r>
        <w:t xml:space="preserve"> Simon Chan, Pentecostal Theology and the Christian Spiritual Tradition (Sheffield: Sheffield Academic Press, 2000).</w:t>
      </w:r>
    </w:p>
  </w:footnote>
  <w:footnote w:id="51">
    <w:p w:rsidR="00DE0790" w:rsidRDefault="00DE0790" w:rsidP="00D53774">
      <w:pPr>
        <w:pStyle w:val="FootnoteText"/>
      </w:pPr>
      <w:r>
        <w:rPr>
          <w:rStyle w:val="FootnoteReference"/>
        </w:rPr>
        <w:footnoteRef/>
      </w:r>
      <w:r>
        <w:t xml:space="preserve"> Amos Yong, “Poured Out on All Flesh: Pentecostalism and the Possibility of Global Theology,” PentecoStudies 6, no. 1 (2007): 16–46.</w:t>
      </w:r>
    </w:p>
  </w:footnote>
  <w:footnote w:id="52">
    <w:p w:rsidR="00DE0790" w:rsidRDefault="00DE0790" w:rsidP="00D53774">
      <w:pPr>
        <w:pStyle w:val="FootnoteText"/>
      </w:pPr>
      <w:r>
        <w:rPr>
          <w:rStyle w:val="FootnoteReference"/>
        </w:rPr>
        <w:footnoteRef/>
      </w:r>
      <w:r>
        <w:t xml:space="preserve"> James K. A. Smith dan Amos Yong, ed., Science and the Spirit: A Pentecostal Engagement with Science (Bloomington: Indiana University Press, 2010).</w:t>
      </w:r>
    </w:p>
  </w:footnote>
  <w:footnote w:id="53">
    <w:p w:rsidR="00DE0790" w:rsidRDefault="00DE0790" w:rsidP="00D53774">
      <w:pPr>
        <w:pStyle w:val="FootnoteText"/>
      </w:pPr>
      <w:r>
        <w:rPr>
          <w:rStyle w:val="FootnoteReference"/>
        </w:rPr>
        <w:footnoteRef/>
      </w:r>
      <w:r>
        <w:t xml:space="preserve"> Heidi A. Campbell dan Giulia Evolvi, “Contextualizing Current Digital Religion Research on Emerging Technologies,” Human Behavior and Emerging Technologies 2, no. 1 (2020): 5–17, https://doi.org/10.1002/hbe2.149.</w:t>
      </w:r>
    </w:p>
  </w:footnote>
  <w:footnote w:id="54">
    <w:p w:rsidR="00DE0790" w:rsidRDefault="00DE0790" w:rsidP="00D53774">
      <w:pPr>
        <w:pStyle w:val="FootnoteText"/>
      </w:pPr>
      <w:r>
        <w:rPr>
          <w:rStyle w:val="FootnoteReference"/>
        </w:rPr>
        <w:footnoteRef/>
      </w:r>
      <w:r>
        <w:t xml:space="preserve"> Lovemore Togarasei, “Mediating the Gospel: Pentecostal Christianity and Media Technology in Botswana and Zimbabwe,” Journal of Contemporary Religion 27, no. 2 (2012): 257–274, https://doi.org/10.1080/13537903.2012.675740.</w:t>
      </w:r>
    </w:p>
  </w:footnote>
  <w:footnote w:id="55">
    <w:p w:rsidR="00DE0790" w:rsidRDefault="00DE0790" w:rsidP="00D53774">
      <w:pPr>
        <w:pStyle w:val="FootnoteText"/>
      </w:pPr>
      <w:r>
        <w:rPr>
          <w:rStyle w:val="FootnoteReference"/>
        </w:rPr>
        <w:footnoteRef/>
      </w:r>
      <w:r>
        <w:t xml:space="preserve"> Jim Y. Trammell, “Look Up on Me: Analyzing Worship Media Technologies,” Journal of Media and Religion 22, nos. 2–4 (2024): 68–77, https://doi.org/10.1080/15348423.2024.2357973.</w:t>
      </w:r>
    </w:p>
  </w:footnote>
  <w:footnote w:id="56">
    <w:p w:rsidR="00DE0790" w:rsidRDefault="00DE0790" w:rsidP="00D53774">
      <w:pPr>
        <w:pStyle w:val="FootnoteText"/>
      </w:pPr>
      <w:r>
        <w:rPr>
          <w:rStyle w:val="FootnoteReference"/>
        </w:rPr>
        <w:footnoteRef/>
      </w:r>
      <w:r>
        <w:t xml:space="preserve"> Heidi A. Campbell, “Digital Religion as the Networked Spiritual Infrastructure of Our Religious Futures,” dalam Redefining Spiritual Spaces in the Age of Technology (2025), 67–80.</w:t>
      </w:r>
    </w:p>
  </w:footnote>
  <w:footnote w:id="57">
    <w:p w:rsidR="00DE0790" w:rsidRDefault="00DE0790" w:rsidP="00D53774">
      <w:pPr>
        <w:pStyle w:val="FootnoteText"/>
      </w:pPr>
      <w:r>
        <w:rPr>
          <w:rStyle w:val="FootnoteReference"/>
        </w:rPr>
        <w:footnoteRef/>
      </w:r>
      <w:r>
        <w:t xml:space="preserve"> Frank D. Macchia, Baptized in the Spirit: A Global Pentecostal Theology (Grand Rapids: Zondervan, 2006).</w:t>
      </w:r>
    </w:p>
  </w:footnote>
  <w:footnote w:id="58">
    <w:p w:rsidR="00DE0790" w:rsidRDefault="00DE0790" w:rsidP="00D53774">
      <w:pPr>
        <w:pStyle w:val="FootnoteText"/>
      </w:pPr>
      <w:r>
        <w:rPr>
          <w:rStyle w:val="FootnoteReference"/>
        </w:rPr>
        <w:footnoteRef/>
      </w:r>
      <w:r>
        <w:t xml:space="preserve"> Alkitab, Kolose 3:16.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1">
    <w:nsid w:val="0053208E"/>
    <w:multiLevelType w:val="multilevel"/>
    <w:tmpl w:val="0053208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nsid w:val="01BB028D"/>
    <w:multiLevelType w:val="multilevel"/>
    <w:tmpl w:val="25FC9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3A09FF"/>
    <w:multiLevelType w:val="multilevel"/>
    <w:tmpl w:val="60702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032757"/>
    <w:multiLevelType w:val="multilevel"/>
    <w:tmpl w:val="DF160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74C1740"/>
    <w:multiLevelType w:val="multilevel"/>
    <w:tmpl w:val="5CEAD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8A0081C"/>
    <w:multiLevelType w:val="multilevel"/>
    <w:tmpl w:val="7EDC2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C55542B"/>
    <w:multiLevelType w:val="multilevel"/>
    <w:tmpl w:val="5930F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CD90FE0"/>
    <w:multiLevelType w:val="multilevel"/>
    <w:tmpl w:val="5B52E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CF65C42"/>
    <w:multiLevelType w:val="multilevel"/>
    <w:tmpl w:val="1262C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D385BBF"/>
    <w:multiLevelType w:val="multilevel"/>
    <w:tmpl w:val="EABA8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E9D5660"/>
    <w:multiLevelType w:val="multilevel"/>
    <w:tmpl w:val="C4BA9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F99186F"/>
    <w:multiLevelType w:val="multilevel"/>
    <w:tmpl w:val="441C3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3AA1B35"/>
    <w:multiLevelType w:val="multilevel"/>
    <w:tmpl w:val="E2429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4524F50"/>
    <w:multiLevelType w:val="multilevel"/>
    <w:tmpl w:val="E856D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7A23280"/>
    <w:multiLevelType w:val="multilevel"/>
    <w:tmpl w:val="29BC7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9154120"/>
    <w:multiLevelType w:val="multilevel"/>
    <w:tmpl w:val="53A08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9F02544"/>
    <w:multiLevelType w:val="multilevel"/>
    <w:tmpl w:val="90707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12C10E7"/>
    <w:multiLevelType w:val="multilevel"/>
    <w:tmpl w:val="3D486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782254B"/>
    <w:multiLevelType w:val="multilevel"/>
    <w:tmpl w:val="AC442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8FF49DC"/>
    <w:multiLevelType w:val="multilevel"/>
    <w:tmpl w:val="8BE8A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7960599"/>
    <w:multiLevelType w:val="multilevel"/>
    <w:tmpl w:val="DC80D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8DE3332"/>
    <w:multiLevelType w:val="multilevel"/>
    <w:tmpl w:val="5FFE1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E24093F"/>
    <w:multiLevelType w:val="multilevel"/>
    <w:tmpl w:val="D90E7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E641BCA"/>
    <w:multiLevelType w:val="multilevel"/>
    <w:tmpl w:val="AC0AA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F56597E"/>
    <w:multiLevelType w:val="multilevel"/>
    <w:tmpl w:val="12767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F577F1E"/>
    <w:multiLevelType w:val="multilevel"/>
    <w:tmpl w:val="11404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F827A49"/>
    <w:multiLevelType w:val="multilevel"/>
    <w:tmpl w:val="0B868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1FE46D3"/>
    <w:multiLevelType w:val="multilevel"/>
    <w:tmpl w:val="B6C43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92D6AA7"/>
    <w:multiLevelType w:val="multilevel"/>
    <w:tmpl w:val="8C90D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CB54E0C"/>
    <w:multiLevelType w:val="multilevel"/>
    <w:tmpl w:val="CA3C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0AF71C4"/>
    <w:multiLevelType w:val="multilevel"/>
    <w:tmpl w:val="74C62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3BF6F7E"/>
    <w:multiLevelType w:val="multilevel"/>
    <w:tmpl w:val="E2C08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A52226B"/>
    <w:multiLevelType w:val="multilevel"/>
    <w:tmpl w:val="405C6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A5A3A01"/>
    <w:multiLevelType w:val="multilevel"/>
    <w:tmpl w:val="FFC4C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B044351"/>
    <w:multiLevelType w:val="multilevel"/>
    <w:tmpl w:val="97541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2881EAB"/>
    <w:multiLevelType w:val="multilevel"/>
    <w:tmpl w:val="767A8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2DB0AE8"/>
    <w:multiLevelType w:val="multilevel"/>
    <w:tmpl w:val="17D80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3C069FB"/>
    <w:multiLevelType w:val="multilevel"/>
    <w:tmpl w:val="24F89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51873A4"/>
    <w:multiLevelType w:val="multilevel"/>
    <w:tmpl w:val="3EE2D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7CF0873"/>
    <w:multiLevelType w:val="multilevel"/>
    <w:tmpl w:val="B37AE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8D7217E"/>
    <w:multiLevelType w:val="multilevel"/>
    <w:tmpl w:val="438A8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EA14B1A"/>
    <w:multiLevelType w:val="multilevel"/>
    <w:tmpl w:val="C4F47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EC93167"/>
    <w:multiLevelType w:val="multilevel"/>
    <w:tmpl w:val="EB8E6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3"/>
  </w:num>
  <w:num w:numId="2">
    <w:abstractNumId w:val="5"/>
  </w:num>
  <w:num w:numId="3">
    <w:abstractNumId w:val="19"/>
  </w:num>
  <w:num w:numId="4">
    <w:abstractNumId w:val="20"/>
  </w:num>
  <w:num w:numId="5">
    <w:abstractNumId w:val="4"/>
  </w:num>
  <w:num w:numId="6">
    <w:abstractNumId w:val="40"/>
  </w:num>
  <w:num w:numId="7">
    <w:abstractNumId w:val="36"/>
  </w:num>
  <w:num w:numId="8">
    <w:abstractNumId w:val="7"/>
  </w:num>
  <w:num w:numId="9">
    <w:abstractNumId w:val="11"/>
  </w:num>
  <w:num w:numId="10">
    <w:abstractNumId w:val="32"/>
  </w:num>
  <w:num w:numId="11">
    <w:abstractNumId w:val="27"/>
  </w:num>
  <w:num w:numId="12">
    <w:abstractNumId w:val="37"/>
  </w:num>
  <w:num w:numId="13">
    <w:abstractNumId w:val="22"/>
  </w:num>
  <w:num w:numId="14">
    <w:abstractNumId w:val="34"/>
  </w:num>
  <w:num w:numId="15">
    <w:abstractNumId w:val="18"/>
  </w:num>
  <w:num w:numId="16">
    <w:abstractNumId w:val="25"/>
  </w:num>
  <w:num w:numId="17">
    <w:abstractNumId w:val="26"/>
  </w:num>
  <w:num w:numId="18">
    <w:abstractNumId w:val="10"/>
  </w:num>
  <w:num w:numId="19">
    <w:abstractNumId w:val="28"/>
  </w:num>
  <w:num w:numId="20">
    <w:abstractNumId w:val="23"/>
  </w:num>
  <w:num w:numId="21">
    <w:abstractNumId w:val="15"/>
  </w:num>
  <w:num w:numId="22">
    <w:abstractNumId w:val="3"/>
  </w:num>
  <w:num w:numId="23">
    <w:abstractNumId w:val="17"/>
  </w:num>
  <w:num w:numId="24">
    <w:abstractNumId w:val="8"/>
  </w:num>
  <w:num w:numId="25">
    <w:abstractNumId w:val="31"/>
  </w:num>
  <w:num w:numId="26">
    <w:abstractNumId w:val="12"/>
  </w:num>
  <w:num w:numId="27">
    <w:abstractNumId w:val="13"/>
  </w:num>
  <w:num w:numId="28">
    <w:abstractNumId w:val="9"/>
  </w:num>
  <w:num w:numId="29">
    <w:abstractNumId w:val="30"/>
  </w:num>
  <w:num w:numId="30">
    <w:abstractNumId w:val="35"/>
  </w:num>
  <w:num w:numId="31">
    <w:abstractNumId w:val="24"/>
  </w:num>
  <w:num w:numId="32">
    <w:abstractNumId w:val="42"/>
  </w:num>
  <w:num w:numId="33">
    <w:abstractNumId w:val="2"/>
  </w:num>
  <w:num w:numId="34">
    <w:abstractNumId w:val="21"/>
  </w:num>
  <w:num w:numId="35">
    <w:abstractNumId w:val="29"/>
  </w:num>
  <w:num w:numId="36">
    <w:abstractNumId w:val="41"/>
  </w:num>
  <w:num w:numId="37">
    <w:abstractNumId w:val="38"/>
  </w:num>
  <w:num w:numId="38">
    <w:abstractNumId w:val="33"/>
  </w:num>
  <w:num w:numId="39">
    <w:abstractNumId w:val="6"/>
  </w:num>
  <w:num w:numId="40">
    <w:abstractNumId w:val="14"/>
  </w:num>
  <w:num w:numId="41">
    <w:abstractNumId w:val="16"/>
  </w:num>
  <w:num w:numId="42">
    <w:abstractNumId w:val="39"/>
  </w:num>
  <w:num w:numId="43">
    <w:abstractNumId w:val="1"/>
    <w:lvlOverride w:ilvl="0">
      <w:startOverride w:val="1"/>
    </w:lvlOverride>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743"/>
    <w:rsid w:val="001F62D6"/>
    <w:rsid w:val="00207743"/>
    <w:rsid w:val="0028516A"/>
    <w:rsid w:val="00335F34"/>
    <w:rsid w:val="003F256E"/>
    <w:rsid w:val="004A79C8"/>
    <w:rsid w:val="00543504"/>
    <w:rsid w:val="00835BA1"/>
    <w:rsid w:val="008F750B"/>
    <w:rsid w:val="009A2097"/>
    <w:rsid w:val="009C35A1"/>
    <w:rsid w:val="00AF4A7C"/>
    <w:rsid w:val="00B16BA5"/>
    <w:rsid w:val="00C67EDD"/>
    <w:rsid w:val="00C731CF"/>
    <w:rsid w:val="00D53774"/>
    <w:rsid w:val="00D83338"/>
    <w:rsid w:val="00DE0790"/>
    <w:rsid w:val="00DE6205"/>
    <w:rsid w:val="00E96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5FDE1D-9603-4BA2-A596-0BA6B4B0A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F4A7C"/>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AF4A7C"/>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AF4A7C"/>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4A7C"/>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AF4A7C"/>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AF4A7C"/>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AF4A7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TMLPreformatted">
    <w:name w:val="HTML Preformatted"/>
    <w:basedOn w:val="Normal"/>
    <w:link w:val="HTMLPreformattedChar"/>
    <w:uiPriority w:val="99"/>
    <w:semiHidden/>
    <w:unhideWhenUsed/>
    <w:rsid w:val="00AF4A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AF4A7C"/>
    <w:rPr>
      <w:rFonts w:ascii="Courier New" w:eastAsia="Times New Roman" w:hAnsi="Courier New" w:cs="Courier New"/>
      <w:kern w:val="0"/>
      <w:sz w:val="20"/>
      <w:szCs w:val="20"/>
      <w14:ligatures w14:val="none"/>
    </w:rPr>
  </w:style>
  <w:style w:type="character" w:styleId="HTMLCode">
    <w:name w:val="HTML Code"/>
    <w:basedOn w:val="DefaultParagraphFont"/>
    <w:uiPriority w:val="99"/>
    <w:semiHidden/>
    <w:unhideWhenUsed/>
    <w:rsid w:val="00AF4A7C"/>
    <w:rPr>
      <w:rFonts w:ascii="Courier New" w:eastAsia="Times New Roman" w:hAnsi="Courier New" w:cs="Courier New"/>
      <w:sz w:val="20"/>
      <w:szCs w:val="20"/>
    </w:rPr>
  </w:style>
  <w:style w:type="character" w:styleId="Strong">
    <w:name w:val="Strong"/>
    <w:basedOn w:val="DefaultParagraphFont"/>
    <w:uiPriority w:val="22"/>
    <w:qFormat/>
    <w:rsid w:val="00AF4A7C"/>
    <w:rPr>
      <w:b/>
      <w:bCs/>
    </w:rPr>
  </w:style>
  <w:style w:type="character" w:customStyle="1" w:styleId="math-inline">
    <w:name w:val="math-inline"/>
    <w:basedOn w:val="DefaultParagraphFont"/>
    <w:rsid w:val="00AF4A7C"/>
  </w:style>
  <w:style w:type="character" w:styleId="FootnoteReference">
    <w:name w:val="footnote reference"/>
    <w:uiPriority w:val="99"/>
    <w:unhideWhenUsed/>
    <w:qFormat/>
    <w:rsid w:val="00D53774"/>
    <w:rPr>
      <w:vertAlign w:val="superscript"/>
    </w:rPr>
  </w:style>
  <w:style w:type="paragraph" w:styleId="ListParagraph">
    <w:name w:val="List Paragraph"/>
    <w:qFormat/>
    <w:rsid w:val="00D53774"/>
    <w:pPr>
      <w:spacing w:after="0" w:line="240" w:lineRule="auto"/>
    </w:pPr>
    <w:rPr>
      <w:rFonts w:ascii="Times New Roman" w:eastAsia="Times New Roman" w:hAnsi="Times New Roman" w:cs="Times New Roman"/>
      <w:kern w:val="0"/>
      <w14:ligatures w14:val="none"/>
    </w:rPr>
  </w:style>
  <w:style w:type="paragraph" w:styleId="Footer">
    <w:name w:val="footer"/>
    <w:basedOn w:val="Normal"/>
    <w:link w:val="FooterChar"/>
    <w:uiPriority w:val="99"/>
    <w:rsid w:val="00D53774"/>
    <w:pPr>
      <w:tabs>
        <w:tab w:val="center" w:pos="4680"/>
        <w:tab w:val="right" w:pos="9360"/>
      </w:tabs>
      <w:spacing w:after="0" w:line="240" w:lineRule="auto"/>
    </w:pPr>
    <w:rPr>
      <w:rFonts w:ascii="Times New Roman" w:eastAsia="Times New Roman" w:hAnsi="Times New Roman" w:cs="SimSun"/>
      <w:kern w:val="0"/>
      <w:szCs w:val="22"/>
      <w14:ligatures w14:val="none"/>
    </w:rPr>
  </w:style>
  <w:style w:type="character" w:customStyle="1" w:styleId="FooterChar">
    <w:name w:val="Footer Char"/>
    <w:basedOn w:val="DefaultParagraphFont"/>
    <w:link w:val="Footer"/>
    <w:uiPriority w:val="99"/>
    <w:rsid w:val="00D53774"/>
    <w:rPr>
      <w:rFonts w:ascii="Times New Roman" w:eastAsia="Times New Roman" w:hAnsi="Times New Roman" w:cs="SimSun"/>
      <w:kern w:val="0"/>
      <w:szCs w:val="22"/>
      <w14:ligatures w14:val="none"/>
    </w:rPr>
  </w:style>
  <w:style w:type="paragraph" w:styleId="ListBullet3">
    <w:name w:val="List Bullet 3"/>
    <w:basedOn w:val="Normal"/>
    <w:uiPriority w:val="99"/>
    <w:rsid w:val="00D53774"/>
    <w:pPr>
      <w:numPr>
        <w:numId w:val="44"/>
      </w:numPr>
      <w:spacing w:after="120" w:line="360" w:lineRule="auto"/>
      <w:contextualSpacing/>
    </w:pPr>
    <w:rPr>
      <w:rFonts w:ascii="Times New Roman" w:eastAsia="Times New Roman" w:hAnsi="Times New Roman" w:cs="SimSun"/>
      <w:kern w:val="0"/>
      <w:szCs w:val="22"/>
      <w14:ligatures w14:val="none"/>
    </w:rPr>
  </w:style>
  <w:style w:type="paragraph" w:styleId="FootnoteText">
    <w:name w:val="footnote text"/>
    <w:basedOn w:val="Normal"/>
    <w:link w:val="FootnoteTextChar"/>
    <w:uiPriority w:val="99"/>
    <w:rsid w:val="00D53774"/>
    <w:pPr>
      <w:spacing w:after="0" w:line="240" w:lineRule="auto"/>
    </w:pPr>
    <w:rPr>
      <w:rFonts w:ascii="Times New Roman" w:eastAsia="Times New Roman" w:hAnsi="Times New Roman" w:cs="SimSun"/>
      <w:kern w:val="0"/>
      <w:sz w:val="20"/>
      <w:szCs w:val="20"/>
      <w14:ligatures w14:val="none"/>
    </w:rPr>
  </w:style>
  <w:style w:type="character" w:customStyle="1" w:styleId="FootnoteTextChar">
    <w:name w:val="Footnote Text Char"/>
    <w:basedOn w:val="DefaultParagraphFont"/>
    <w:link w:val="FootnoteText"/>
    <w:uiPriority w:val="99"/>
    <w:rsid w:val="00D53774"/>
    <w:rPr>
      <w:rFonts w:ascii="Times New Roman" w:eastAsia="Times New Roman" w:hAnsi="Times New Roman" w:cs="SimSun"/>
      <w:kern w:val="0"/>
      <w:sz w:val="20"/>
      <w:szCs w:val="20"/>
      <w14:ligatures w14:val="none"/>
    </w:rPr>
  </w:style>
  <w:style w:type="character" w:styleId="Hyperlink">
    <w:name w:val="Hyperlink"/>
    <w:basedOn w:val="DefaultParagraphFont"/>
    <w:uiPriority w:val="99"/>
    <w:rsid w:val="00D537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6491911">
      <w:bodyDiv w:val="1"/>
      <w:marLeft w:val="0"/>
      <w:marRight w:val="0"/>
      <w:marTop w:val="0"/>
      <w:marBottom w:val="0"/>
      <w:divBdr>
        <w:top w:val="none" w:sz="0" w:space="0" w:color="auto"/>
        <w:left w:val="none" w:sz="0" w:space="0" w:color="auto"/>
        <w:bottom w:val="none" w:sz="0" w:space="0" w:color="auto"/>
        <w:right w:val="none" w:sz="0" w:space="0" w:color="auto"/>
      </w:divBdr>
      <w:divsChild>
        <w:div w:id="1063679881">
          <w:marLeft w:val="0"/>
          <w:marRight w:val="0"/>
          <w:marTop w:val="0"/>
          <w:marBottom w:val="0"/>
          <w:divBdr>
            <w:top w:val="none" w:sz="0" w:space="0" w:color="auto"/>
            <w:left w:val="none" w:sz="0" w:space="0" w:color="auto"/>
            <w:bottom w:val="none" w:sz="0" w:space="0" w:color="auto"/>
            <w:right w:val="none" w:sz="0" w:space="0" w:color="auto"/>
          </w:divBdr>
          <w:divsChild>
            <w:div w:id="69809547">
              <w:marLeft w:val="0"/>
              <w:marRight w:val="0"/>
              <w:marTop w:val="0"/>
              <w:marBottom w:val="0"/>
              <w:divBdr>
                <w:top w:val="none" w:sz="0" w:space="0" w:color="auto"/>
                <w:left w:val="none" w:sz="0" w:space="0" w:color="auto"/>
                <w:bottom w:val="none" w:sz="0" w:space="0" w:color="auto"/>
                <w:right w:val="none" w:sz="0" w:space="0" w:color="auto"/>
              </w:divBdr>
              <w:divsChild>
                <w:div w:id="59094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548162">
          <w:marLeft w:val="0"/>
          <w:marRight w:val="0"/>
          <w:marTop w:val="0"/>
          <w:marBottom w:val="0"/>
          <w:divBdr>
            <w:top w:val="none" w:sz="0" w:space="0" w:color="auto"/>
            <w:left w:val="none" w:sz="0" w:space="0" w:color="auto"/>
            <w:bottom w:val="none" w:sz="0" w:space="0" w:color="auto"/>
            <w:right w:val="none" w:sz="0" w:space="0" w:color="auto"/>
          </w:divBdr>
          <w:divsChild>
            <w:div w:id="1303970321">
              <w:marLeft w:val="0"/>
              <w:marRight w:val="0"/>
              <w:marTop w:val="0"/>
              <w:marBottom w:val="0"/>
              <w:divBdr>
                <w:top w:val="none" w:sz="0" w:space="0" w:color="auto"/>
                <w:left w:val="none" w:sz="0" w:space="0" w:color="auto"/>
                <w:bottom w:val="none" w:sz="0" w:space="0" w:color="auto"/>
                <w:right w:val="none" w:sz="0" w:space="0" w:color="auto"/>
              </w:divBdr>
              <w:divsChild>
                <w:div w:id="40438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374888">
          <w:marLeft w:val="0"/>
          <w:marRight w:val="0"/>
          <w:marTop w:val="0"/>
          <w:marBottom w:val="0"/>
          <w:divBdr>
            <w:top w:val="none" w:sz="0" w:space="0" w:color="auto"/>
            <w:left w:val="none" w:sz="0" w:space="0" w:color="auto"/>
            <w:bottom w:val="none" w:sz="0" w:space="0" w:color="auto"/>
            <w:right w:val="none" w:sz="0" w:space="0" w:color="auto"/>
          </w:divBdr>
          <w:divsChild>
            <w:div w:id="1526405247">
              <w:marLeft w:val="0"/>
              <w:marRight w:val="0"/>
              <w:marTop w:val="0"/>
              <w:marBottom w:val="0"/>
              <w:divBdr>
                <w:top w:val="none" w:sz="0" w:space="0" w:color="auto"/>
                <w:left w:val="none" w:sz="0" w:space="0" w:color="auto"/>
                <w:bottom w:val="none" w:sz="0" w:space="0" w:color="auto"/>
                <w:right w:val="none" w:sz="0" w:space="0" w:color="auto"/>
              </w:divBdr>
              <w:divsChild>
                <w:div w:id="63761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053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0926503">
      <w:bodyDiv w:val="1"/>
      <w:marLeft w:val="0"/>
      <w:marRight w:val="0"/>
      <w:marTop w:val="0"/>
      <w:marBottom w:val="0"/>
      <w:divBdr>
        <w:top w:val="none" w:sz="0" w:space="0" w:color="auto"/>
        <w:left w:val="none" w:sz="0" w:space="0" w:color="auto"/>
        <w:bottom w:val="none" w:sz="0" w:space="0" w:color="auto"/>
        <w:right w:val="none" w:sz="0" w:space="0" w:color="auto"/>
      </w:divBdr>
      <w:divsChild>
        <w:div w:id="1284992782">
          <w:marLeft w:val="0"/>
          <w:marRight w:val="0"/>
          <w:marTop w:val="0"/>
          <w:marBottom w:val="0"/>
          <w:divBdr>
            <w:top w:val="none" w:sz="0" w:space="0" w:color="auto"/>
            <w:left w:val="none" w:sz="0" w:space="0" w:color="auto"/>
            <w:bottom w:val="none" w:sz="0" w:space="0" w:color="auto"/>
            <w:right w:val="none" w:sz="0" w:space="0" w:color="auto"/>
          </w:divBdr>
          <w:divsChild>
            <w:div w:id="566451542">
              <w:marLeft w:val="0"/>
              <w:marRight w:val="0"/>
              <w:marTop w:val="0"/>
              <w:marBottom w:val="0"/>
              <w:divBdr>
                <w:top w:val="none" w:sz="0" w:space="0" w:color="auto"/>
                <w:left w:val="none" w:sz="0" w:space="0" w:color="auto"/>
                <w:bottom w:val="none" w:sz="0" w:space="0" w:color="auto"/>
                <w:right w:val="none" w:sz="0" w:space="0" w:color="auto"/>
              </w:divBdr>
              <w:divsChild>
                <w:div w:id="30385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872915">
          <w:marLeft w:val="0"/>
          <w:marRight w:val="0"/>
          <w:marTop w:val="0"/>
          <w:marBottom w:val="0"/>
          <w:divBdr>
            <w:top w:val="none" w:sz="0" w:space="0" w:color="auto"/>
            <w:left w:val="none" w:sz="0" w:space="0" w:color="auto"/>
            <w:bottom w:val="none" w:sz="0" w:space="0" w:color="auto"/>
            <w:right w:val="none" w:sz="0" w:space="0" w:color="auto"/>
          </w:divBdr>
          <w:divsChild>
            <w:div w:id="862746502">
              <w:marLeft w:val="0"/>
              <w:marRight w:val="0"/>
              <w:marTop w:val="0"/>
              <w:marBottom w:val="0"/>
              <w:divBdr>
                <w:top w:val="none" w:sz="0" w:space="0" w:color="auto"/>
                <w:left w:val="none" w:sz="0" w:space="0" w:color="auto"/>
                <w:bottom w:val="none" w:sz="0" w:space="0" w:color="auto"/>
                <w:right w:val="none" w:sz="0" w:space="0" w:color="auto"/>
              </w:divBdr>
              <w:divsChild>
                <w:div w:id="43359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615459">
      <w:bodyDiv w:val="1"/>
      <w:marLeft w:val="0"/>
      <w:marRight w:val="0"/>
      <w:marTop w:val="0"/>
      <w:marBottom w:val="0"/>
      <w:divBdr>
        <w:top w:val="none" w:sz="0" w:space="0" w:color="auto"/>
        <w:left w:val="none" w:sz="0" w:space="0" w:color="auto"/>
        <w:bottom w:val="none" w:sz="0" w:space="0" w:color="auto"/>
        <w:right w:val="none" w:sz="0" w:space="0" w:color="auto"/>
      </w:divBdr>
      <w:divsChild>
        <w:div w:id="1206411317">
          <w:marLeft w:val="0"/>
          <w:marRight w:val="0"/>
          <w:marTop w:val="0"/>
          <w:marBottom w:val="0"/>
          <w:divBdr>
            <w:top w:val="none" w:sz="0" w:space="0" w:color="auto"/>
            <w:left w:val="none" w:sz="0" w:space="0" w:color="auto"/>
            <w:bottom w:val="none" w:sz="0" w:space="0" w:color="auto"/>
            <w:right w:val="none" w:sz="0" w:space="0" w:color="auto"/>
          </w:divBdr>
          <w:divsChild>
            <w:div w:id="303047184">
              <w:marLeft w:val="0"/>
              <w:marRight w:val="0"/>
              <w:marTop w:val="0"/>
              <w:marBottom w:val="0"/>
              <w:divBdr>
                <w:top w:val="none" w:sz="0" w:space="0" w:color="auto"/>
                <w:left w:val="none" w:sz="0" w:space="0" w:color="auto"/>
                <w:bottom w:val="none" w:sz="0" w:space="0" w:color="auto"/>
                <w:right w:val="none" w:sz="0" w:space="0" w:color="auto"/>
              </w:divBdr>
              <w:divsChild>
                <w:div w:id="94249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29172">
          <w:blockQuote w:val="1"/>
          <w:marLeft w:val="720"/>
          <w:marRight w:val="720"/>
          <w:marTop w:val="100"/>
          <w:marBottom w:val="100"/>
          <w:divBdr>
            <w:top w:val="none" w:sz="0" w:space="0" w:color="auto"/>
            <w:left w:val="none" w:sz="0" w:space="0" w:color="auto"/>
            <w:bottom w:val="none" w:sz="0" w:space="0" w:color="auto"/>
            <w:right w:val="none" w:sz="0" w:space="0" w:color="auto"/>
          </w:divBdr>
        </w:div>
        <w:div w:id="176237229">
          <w:marLeft w:val="0"/>
          <w:marRight w:val="0"/>
          <w:marTop w:val="0"/>
          <w:marBottom w:val="0"/>
          <w:divBdr>
            <w:top w:val="none" w:sz="0" w:space="0" w:color="auto"/>
            <w:left w:val="none" w:sz="0" w:space="0" w:color="auto"/>
            <w:bottom w:val="none" w:sz="0" w:space="0" w:color="auto"/>
            <w:right w:val="none" w:sz="0" w:space="0" w:color="auto"/>
          </w:divBdr>
          <w:divsChild>
            <w:div w:id="993529220">
              <w:marLeft w:val="0"/>
              <w:marRight w:val="0"/>
              <w:marTop w:val="0"/>
              <w:marBottom w:val="0"/>
              <w:divBdr>
                <w:top w:val="none" w:sz="0" w:space="0" w:color="auto"/>
                <w:left w:val="none" w:sz="0" w:space="0" w:color="auto"/>
                <w:bottom w:val="none" w:sz="0" w:space="0" w:color="auto"/>
                <w:right w:val="none" w:sz="0" w:space="0" w:color="auto"/>
              </w:divBdr>
              <w:divsChild>
                <w:div w:id="142371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2097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2199338">
      <w:bodyDiv w:val="1"/>
      <w:marLeft w:val="0"/>
      <w:marRight w:val="0"/>
      <w:marTop w:val="0"/>
      <w:marBottom w:val="0"/>
      <w:divBdr>
        <w:top w:val="none" w:sz="0" w:space="0" w:color="auto"/>
        <w:left w:val="none" w:sz="0" w:space="0" w:color="auto"/>
        <w:bottom w:val="none" w:sz="0" w:space="0" w:color="auto"/>
        <w:right w:val="none" w:sz="0" w:space="0" w:color="auto"/>
      </w:divBdr>
    </w:div>
    <w:div w:id="1338848875">
      <w:bodyDiv w:val="1"/>
      <w:marLeft w:val="0"/>
      <w:marRight w:val="0"/>
      <w:marTop w:val="0"/>
      <w:marBottom w:val="0"/>
      <w:divBdr>
        <w:top w:val="none" w:sz="0" w:space="0" w:color="auto"/>
        <w:left w:val="none" w:sz="0" w:space="0" w:color="auto"/>
        <w:bottom w:val="none" w:sz="0" w:space="0" w:color="auto"/>
        <w:right w:val="none" w:sz="0" w:space="0" w:color="auto"/>
      </w:divBdr>
      <w:divsChild>
        <w:div w:id="1728718058">
          <w:marLeft w:val="0"/>
          <w:marRight w:val="0"/>
          <w:marTop w:val="0"/>
          <w:marBottom w:val="0"/>
          <w:divBdr>
            <w:top w:val="none" w:sz="0" w:space="0" w:color="auto"/>
            <w:left w:val="none" w:sz="0" w:space="0" w:color="auto"/>
            <w:bottom w:val="none" w:sz="0" w:space="0" w:color="auto"/>
            <w:right w:val="none" w:sz="0" w:space="0" w:color="auto"/>
          </w:divBdr>
          <w:divsChild>
            <w:div w:id="1144204450">
              <w:marLeft w:val="0"/>
              <w:marRight w:val="0"/>
              <w:marTop w:val="0"/>
              <w:marBottom w:val="0"/>
              <w:divBdr>
                <w:top w:val="none" w:sz="0" w:space="0" w:color="auto"/>
                <w:left w:val="none" w:sz="0" w:space="0" w:color="auto"/>
                <w:bottom w:val="none" w:sz="0" w:space="0" w:color="auto"/>
                <w:right w:val="none" w:sz="0" w:space="0" w:color="auto"/>
              </w:divBdr>
              <w:divsChild>
                <w:div w:id="106568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30876">
          <w:marLeft w:val="0"/>
          <w:marRight w:val="0"/>
          <w:marTop w:val="0"/>
          <w:marBottom w:val="0"/>
          <w:divBdr>
            <w:top w:val="none" w:sz="0" w:space="0" w:color="auto"/>
            <w:left w:val="none" w:sz="0" w:space="0" w:color="auto"/>
            <w:bottom w:val="none" w:sz="0" w:space="0" w:color="auto"/>
            <w:right w:val="none" w:sz="0" w:space="0" w:color="auto"/>
          </w:divBdr>
          <w:divsChild>
            <w:div w:id="735973737">
              <w:marLeft w:val="0"/>
              <w:marRight w:val="0"/>
              <w:marTop w:val="0"/>
              <w:marBottom w:val="0"/>
              <w:divBdr>
                <w:top w:val="none" w:sz="0" w:space="0" w:color="auto"/>
                <w:left w:val="none" w:sz="0" w:space="0" w:color="auto"/>
                <w:bottom w:val="none" w:sz="0" w:space="0" w:color="auto"/>
                <w:right w:val="none" w:sz="0" w:space="0" w:color="auto"/>
              </w:divBdr>
              <w:divsChild>
                <w:div w:id="171986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775021">
          <w:marLeft w:val="0"/>
          <w:marRight w:val="0"/>
          <w:marTop w:val="0"/>
          <w:marBottom w:val="0"/>
          <w:divBdr>
            <w:top w:val="none" w:sz="0" w:space="0" w:color="auto"/>
            <w:left w:val="none" w:sz="0" w:space="0" w:color="auto"/>
            <w:bottom w:val="none" w:sz="0" w:space="0" w:color="auto"/>
            <w:right w:val="none" w:sz="0" w:space="0" w:color="auto"/>
          </w:divBdr>
          <w:divsChild>
            <w:div w:id="1163427074">
              <w:marLeft w:val="0"/>
              <w:marRight w:val="0"/>
              <w:marTop w:val="0"/>
              <w:marBottom w:val="0"/>
              <w:divBdr>
                <w:top w:val="none" w:sz="0" w:space="0" w:color="auto"/>
                <w:left w:val="none" w:sz="0" w:space="0" w:color="auto"/>
                <w:bottom w:val="none" w:sz="0" w:space="0" w:color="auto"/>
                <w:right w:val="none" w:sz="0" w:space="0" w:color="auto"/>
              </w:divBdr>
              <w:divsChild>
                <w:div w:id="4007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538668">
      <w:bodyDiv w:val="1"/>
      <w:marLeft w:val="0"/>
      <w:marRight w:val="0"/>
      <w:marTop w:val="0"/>
      <w:marBottom w:val="0"/>
      <w:divBdr>
        <w:top w:val="none" w:sz="0" w:space="0" w:color="auto"/>
        <w:left w:val="none" w:sz="0" w:space="0" w:color="auto"/>
        <w:bottom w:val="none" w:sz="0" w:space="0" w:color="auto"/>
        <w:right w:val="none" w:sz="0" w:space="0" w:color="auto"/>
      </w:divBdr>
      <w:divsChild>
        <w:div w:id="2040158751">
          <w:marLeft w:val="0"/>
          <w:marRight w:val="0"/>
          <w:marTop w:val="0"/>
          <w:marBottom w:val="0"/>
          <w:divBdr>
            <w:top w:val="none" w:sz="0" w:space="0" w:color="auto"/>
            <w:left w:val="none" w:sz="0" w:space="0" w:color="auto"/>
            <w:bottom w:val="none" w:sz="0" w:space="0" w:color="auto"/>
            <w:right w:val="none" w:sz="0" w:space="0" w:color="auto"/>
          </w:divBdr>
          <w:divsChild>
            <w:div w:id="236521159">
              <w:marLeft w:val="0"/>
              <w:marRight w:val="0"/>
              <w:marTop w:val="0"/>
              <w:marBottom w:val="0"/>
              <w:divBdr>
                <w:top w:val="none" w:sz="0" w:space="0" w:color="auto"/>
                <w:left w:val="none" w:sz="0" w:space="0" w:color="auto"/>
                <w:bottom w:val="none" w:sz="0" w:space="0" w:color="auto"/>
                <w:right w:val="none" w:sz="0" w:space="0" w:color="auto"/>
              </w:divBdr>
              <w:divsChild>
                <w:div w:id="186813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573624">
          <w:blockQuote w:val="1"/>
          <w:marLeft w:val="720"/>
          <w:marRight w:val="720"/>
          <w:marTop w:val="100"/>
          <w:marBottom w:val="100"/>
          <w:divBdr>
            <w:top w:val="none" w:sz="0" w:space="0" w:color="auto"/>
            <w:left w:val="none" w:sz="0" w:space="0" w:color="auto"/>
            <w:bottom w:val="none" w:sz="0" w:space="0" w:color="auto"/>
            <w:right w:val="none" w:sz="0" w:space="0" w:color="auto"/>
          </w:divBdr>
        </w:div>
        <w:div w:id="2126533723">
          <w:marLeft w:val="0"/>
          <w:marRight w:val="0"/>
          <w:marTop w:val="0"/>
          <w:marBottom w:val="0"/>
          <w:divBdr>
            <w:top w:val="none" w:sz="0" w:space="0" w:color="auto"/>
            <w:left w:val="none" w:sz="0" w:space="0" w:color="auto"/>
            <w:bottom w:val="none" w:sz="0" w:space="0" w:color="auto"/>
            <w:right w:val="none" w:sz="0" w:space="0" w:color="auto"/>
          </w:divBdr>
          <w:divsChild>
            <w:div w:id="1142312335">
              <w:marLeft w:val="0"/>
              <w:marRight w:val="0"/>
              <w:marTop w:val="0"/>
              <w:marBottom w:val="0"/>
              <w:divBdr>
                <w:top w:val="none" w:sz="0" w:space="0" w:color="auto"/>
                <w:left w:val="none" w:sz="0" w:space="0" w:color="auto"/>
                <w:bottom w:val="none" w:sz="0" w:space="0" w:color="auto"/>
                <w:right w:val="none" w:sz="0" w:space="0" w:color="auto"/>
              </w:divBdr>
              <w:divsChild>
                <w:div w:id="47660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3486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7077502">
      <w:bodyDiv w:val="1"/>
      <w:marLeft w:val="0"/>
      <w:marRight w:val="0"/>
      <w:marTop w:val="0"/>
      <w:marBottom w:val="0"/>
      <w:divBdr>
        <w:top w:val="none" w:sz="0" w:space="0" w:color="auto"/>
        <w:left w:val="none" w:sz="0" w:space="0" w:color="auto"/>
        <w:bottom w:val="none" w:sz="0" w:space="0" w:color="auto"/>
        <w:right w:val="none" w:sz="0" w:space="0" w:color="auto"/>
      </w:divBdr>
    </w:div>
    <w:div w:id="1622802742">
      <w:bodyDiv w:val="1"/>
      <w:marLeft w:val="0"/>
      <w:marRight w:val="0"/>
      <w:marTop w:val="0"/>
      <w:marBottom w:val="0"/>
      <w:divBdr>
        <w:top w:val="none" w:sz="0" w:space="0" w:color="auto"/>
        <w:left w:val="none" w:sz="0" w:space="0" w:color="auto"/>
        <w:bottom w:val="none" w:sz="0" w:space="0" w:color="auto"/>
        <w:right w:val="none" w:sz="0" w:space="0" w:color="auto"/>
      </w:divBdr>
    </w:div>
    <w:div w:id="1732387859">
      <w:bodyDiv w:val="1"/>
      <w:marLeft w:val="0"/>
      <w:marRight w:val="0"/>
      <w:marTop w:val="0"/>
      <w:marBottom w:val="0"/>
      <w:divBdr>
        <w:top w:val="none" w:sz="0" w:space="0" w:color="auto"/>
        <w:left w:val="none" w:sz="0" w:space="0" w:color="auto"/>
        <w:bottom w:val="none" w:sz="0" w:space="0" w:color="auto"/>
        <w:right w:val="none" w:sz="0" w:space="0" w:color="auto"/>
      </w:divBdr>
      <w:divsChild>
        <w:div w:id="2067947744">
          <w:marLeft w:val="0"/>
          <w:marRight w:val="0"/>
          <w:marTop w:val="0"/>
          <w:marBottom w:val="0"/>
          <w:divBdr>
            <w:top w:val="none" w:sz="0" w:space="0" w:color="auto"/>
            <w:left w:val="none" w:sz="0" w:space="0" w:color="auto"/>
            <w:bottom w:val="none" w:sz="0" w:space="0" w:color="auto"/>
            <w:right w:val="none" w:sz="0" w:space="0" w:color="auto"/>
          </w:divBdr>
          <w:divsChild>
            <w:div w:id="980429677">
              <w:marLeft w:val="0"/>
              <w:marRight w:val="0"/>
              <w:marTop w:val="0"/>
              <w:marBottom w:val="0"/>
              <w:divBdr>
                <w:top w:val="none" w:sz="0" w:space="0" w:color="auto"/>
                <w:left w:val="none" w:sz="0" w:space="0" w:color="auto"/>
                <w:bottom w:val="none" w:sz="0" w:space="0" w:color="auto"/>
                <w:right w:val="none" w:sz="0" w:space="0" w:color="auto"/>
              </w:divBdr>
              <w:divsChild>
                <w:div w:id="185291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603305">
          <w:marLeft w:val="0"/>
          <w:marRight w:val="0"/>
          <w:marTop w:val="0"/>
          <w:marBottom w:val="0"/>
          <w:divBdr>
            <w:top w:val="none" w:sz="0" w:space="0" w:color="auto"/>
            <w:left w:val="none" w:sz="0" w:space="0" w:color="auto"/>
            <w:bottom w:val="none" w:sz="0" w:space="0" w:color="auto"/>
            <w:right w:val="none" w:sz="0" w:space="0" w:color="auto"/>
          </w:divBdr>
          <w:divsChild>
            <w:div w:id="815997657">
              <w:marLeft w:val="0"/>
              <w:marRight w:val="0"/>
              <w:marTop w:val="0"/>
              <w:marBottom w:val="0"/>
              <w:divBdr>
                <w:top w:val="none" w:sz="0" w:space="0" w:color="auto"/>
                <w:left w:val="none" w:sz="0" w:space="0" w:color="auto"/>
                <w:bottom w:val="none" w:sz="0" w:space="0" w:color="auto"/>
                <w:right w:val="none" w:sz="0" w:space="0" w:color="auto"/>
              </w:divBdr>
              <w:divsChild>
                <w:div w:id="40580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40567">
          <w:marLeft w:val="0"/>
          <w:marRight w:val="0"/>
          <w:marTop w:val="0"/>
          <w:marBottom w:val="0"/>
          <w:divBdr>
            <w:top w:val="none" w:sz="0" w:space="0" w:color="auto"/>
            <w:left w:val="none" w:sz="0" w:space="0" w:color="auto"/>
            <w:bottom w:val="none" w:sz="0" w:space="0" w:color="auto"/>
            <w:right w:val="none" w:sz="0" w:space="0" w:color="auto"/>
          </w:divBdr>
          <w:divsChild>
            <w:div w:id="138814932">
              <w:marLeft w:val="0"/>
              <w:marRight w:val="0"/>
              <w:marTop w:val="0"/>
              <w:marBottom w:val="0"/>
              <w:divBdr>
                <w:top w:val="none" w:sz="0" w:space="0" w:color="auto"/>
                <w:left w:val="none" w:sz="0" w:space="0" w:color="auto"/>
                <w:bottom w:val="none" w:sz="0" w:space="0" w:color="auto"/>
                <w:right w:val="none" w:sz="0" w:space="0" w:color="auto"/>
              </w:divBdr>
              <w:divsChild>
                <w:div w:id="206910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080/15348423.2024.235797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80/13537903.2012.67574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4102/ajops.v2i1.5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4102/hts.v81i1.10592" TargetMode="External"/><Relationship Id="rId4" Type="http://schemas.openxmlformats.org/officeDocument/2006/relationships/settings" Target="settings.xml"/><Relationship Id="rId9" Type="http://schemas.openxmlformats.org/officeDocument/2006/relationships/hyperlink" Target="https://doi.org/10.1002/hbe2.149" TargetMode="External"/><Relationship Id="rId14" Type="http://schemas.openxmlformats.org/officeDocument/2006/relationships/hyperlink" Target="https://doi.org/10.1111/irom.121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C85C8-28D6-4DC7-89B3-D5E9ADB92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98</Pages>
  <Words>25066</Words>
  <Characters>142879</Characters>
  <Application>Microsoft Office Word</Application>
  <DocSecurity>0</DocSecurity>
  <Lines>1190</Lines>
  <Paragraphs>335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167610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cp:keywords/>
  <dc:description/>
  <cp:lastModifiedBy>ismail - [2010]</cp:lastModifiedBy>
  <cp:revision>8</cp:revision>
  <dcterms:created xsi:type="dcterms:W3CDTF">2026-08-18T17:18:00Z</dcterms:created>
  <dcterms:modified xsi:type="dcterms:W3CDTF">2026-11-03T03:30:00Z</dcterms:modified>
</cp:coreProperties>
</file>