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1B3DF">
      <w:pPr>
        <w:rPr>
          <w:sz w:val="28"/>
          <w:szCs w:val="28"/>
          <w:lang w:val="id-ID"/>
        </w:rPr>
      </w:pPr>
      <w:r>
        <w:rPr>
          <w:sz w:val="28"/>
          <w:szCs w:val="28"/>
          <w:lang w:val="id-ID"/>
        </w:rPr>
        <w:t xml:space="preserve">Nama: Piter Timotius Simbolon </w:t>
      </w:r>
    </w:p>
    <w:p w14:paraId="60163574">
      <w:pPr>
        <w:rPr>
          <w:sz w:val="28"/>
          <w:szCs w:val="28"/>
          <w:lang w:val="id-ID"/>
        </w:rPr>
      </w:pPr>
      <w:r>
        <w:rPr>
          <w:sz w:val="28"/>
          <w:szCs w:val="28"/>
          <w:lang w:val="id-ID"/>
        </w:rPr>
        <w:t>Nim: 2431TH11</w:t>
      </w:r>
    </w:p>
    <w:p w14:paraId="1C8ECA40">
      <w:pPr>
        <w:rPr>
          <w:sz w:val="28"/>
          <w:szCs w:val="28"/>
          <w:lang w:val="id-ID"/>
        </w:rPr>
      </w:pPr>
      <w:r>
        <w:rPr>
          <w:sz w:val="28"/>
          <w:szCs w:val="28"/>
          <w:lang w:val="id-ID"/>
        </w:rPr>
        <w:t>Mata kuliah: Tafsir PL 3</w:t>
      </w:r>
    </w:p>
    <w:p w14:paraId="0418411D">
      <w:pPr>
        <w:rPr>
          <w:sz w:val="34"/>
          <w:szCs w:val="34"/>
          <w:lang w:val="id-ID"/>
        </w:rPr>
      </w:pPr>
    </w:p>
    <w:p w14:paraId="4281D38C">
      <w:pPr>
        <w:rPr>
          <w:rFonts w:hint="eastAsia"/>
          <w:sz w:val="24"/>
          <w:szCs w:val="24"/>
        </w:rPr>
      </w:pPr>
      <w:r>
        <w:rPr>
          <w:rFonts w:hint="eastAsia"/>
          <w:b/>
          <w:bCs/>
          <w:sz w:val="24"/>
          <w:szCs w:val="24"/>
        </w:rPr>
        <w:t>Eksegesa Mazmur 10:1-18</w:t>
      </w:r>
    </w:p>
    <w:p w14:paraId="53973F3B">
      <w:pPr>
        <w:rPr>
          <w:rFonts w:hint="eastAsia"/>
          <w:sz w:val="24"/>
          <w:szCs w:val="24"/>
        </w:rPr>
      </w:pPr>
    </w:p>
    <w:p w14:paraId="787841FC">
      <w:pPr>
        <w:rPr>
          <w:rFonts w:hint="eastAsia"/>
          <w:sz w:val="24"/>
          <w:szCs w:val="24"/>
        </w:rPr>
      </w:pPr>
      <w:r>
        <w:rPr>
          <w:rFonts w:hint="eastAsia"/>
          <w:b/>
          <w:bCs/>
          <w:sz w:val="24"/>
          <w:szCs w:val="24"/>
        </w:rPr>
        <w:t>Pendahuluan</w:t>
      </w:r>
    </w:p>
    <w:p w14:paraId="7A9E77D9">
      <w:pPr>
        <w:rPr>
          <w:rFonts w:hint="eastAsia"/>
          <w:sz w:val="24"/>
          <w:szCs w:val="24"/>
        </w:rPr>
      </w:pPr>
    </w:p>
    <w:p w14:paraId="67D752CC">
      <w:pPr>
        <w:rPr>
          <w:rFonts w:hint="eastAsia"/>
          <w:sz w:val="24"/>
          <w:szCs w:val="24"/>
        </w:rPr>
      </w:pPr>
      <w:r>
        <w:rPr>
          <w:rFonts w:hint="eastAsia"/>
          <w:sz w:val="24"/>
          <w:szCs w:val="24"/>
        </w:rPr>
        <w:t>Mazmur 10 adalah sebuah mazmur ratap yang disusun dalam bentuk doa permohonan dari seseorang yang sedang mengalami penindasan dan ketidakadilan. Berbeda dengan mazmur pujian, penulis di sini memulai dengan pertanyaan yang jujur dan langsung kepada Allah: mengapa Engkau tampak jauh dan diam saat kejahatan merajalela? Secara struktur, mazmur ini terbagi menjadi tiga bagian utama: keluhan dan gambaran kejahatan (ayat 1-11), permohonan dan pengakuan iman (ayat 12-15), serta keyakinan akan keadilan Allah (ayat 16-18).</w:t>
      </w:r>
    </w:p>
    <w:p w14:paraId="4113D564">
      <w:pPr>
        <w:rPr>
          <w:rFonts w:hint="eastAsia"/>
          <w:sz w:val="24"/>
          <w:szCs w:val="24"/>
        </w:rPr>
      </w:pPr>
      <w:r>
        <w:rPr>
          <w:rFonts w:hint="eastAsia"/>
          <w:b/>
          <w:bCs/>
          <w:sz w:val="24"/>
          <w:szCs w:val="24"/>
        </w:rPr>
        <w:t>I. Keluhan dan Gambaran Kejahatan (Ayat 1-11)</w:t>
      </w:r>
    </w:p>
    <w:p w14:paraId="459CF33B">
      <w:pPr>
        <w:rPr>
          <w:rFonts w:hint="eastAsia"/>
          <w:sz w:val="24"/>
          <w:szCs w:val="24"/>
        </w:rPr>
      </w:pPr>
    </w:p>
    <w:p w14:paraId="072B04DB">
      <w:pPr>
        <w:rPr>
          <w:rFonts w:hint="eastAsia"/>
          <w:sz w:val="24"/>
          <w:szCs w:val="24"/>
        </w:rPr>
      </w:pPr>
      <w:r>
        <w:rPr>
          <w:rFonts w:hint="eastAsia"/>
          <w:sz w:val="24"/>
          <w:szCs w:val="24"/>
        </w:rPr>
        <w:t>Pada ayat pertama, pemazmur melontarkan pertanyaan yang sangat jujur namun tidak kurang hormat: mengapa TUHAN seolah-olah berdiri jauh dan menyembunyikan diri di saat kesesakan datang? Pertanyaan ini bukanlah bentuk ketidakpercayaan, melainkan ekspresi pergumulan batin yang wajar dialami orang beriman. Kadang dalam penderitaan, perasaan kita seakan Allah tidak hadir, tetapi perasaan itu tidak sama dengan kenyataan.</w:t>
      </w:r>
    </w:p>
    <w:p w14:paraId="0DB74280">
      <w:pPr>
        <w:rPr>
          <w:rFonts w:hint="eastAsia"/>
          <w:sz w:val="24"/>
          <w:szCs w:val="24"/>
        </w:rPr>
      </w:pPr>
    </w:p>
    <w:p w14:paraId="0AE9D74C">
      <w:pPr>
        <w:rPr>
          <w:rFonts w:hint="eastAsia"/>
          <w:sz w:val="24"/>
          <w:szCs w:val="24"/>
        </w:rPr>
      </w:pPr>
      <w:r>
        <w:rPr>
          <w:rFonts w:hint="eastAsia"/>
          <w:sz w:val="24"/>
          <w:szCs w:val="24"/>
        </w:rPr>
        <w:t>Ayat 2-11 memberikan gambaran yang sangat rinci tentang siapa orang fasik itu dan bagaimana cara kerjanya. Pertama, mereka bertindak dengan kesombongan yang tinggi, memburu dan menindas orang yang lemah dengan penuh kebanggaan diri. Kedua, hidup mereka tidak berpusat pada Allah; justru sebaliknya, mereka memuji-muji keinginan hati sendiri, serakah, dan berani menghina Tuhan. Dalam kesombongannya, mereka berkata: "Allah tidak akan menuntut, tidak ada Allah." Ini bukan berarti mereka benar-benar ateis, melainkan mereka hidup seolah-olah Allah tidak ada yang akan menilai perbuatan mereka.</w:t>
      </w:r>
    </w:p>
    <w:p w14:paraId="13FEF59F">
      <w:pPr>
        <w:rPr>
          <w:rFonts w:hint="eastAsia"/>
          <w:sz w:val="24"/>
          <w:szCs w:val="24"/>
        </w:rPr>
      </w:pPr>
    </w:p>
    <w:p w14:paraId="1B32BBCD">
      <w:pPr>
        <w:rPr>
          <w:rFonts w:hint="eastAsia"/>
          <w:sz w:val="24"/>
          <w:szCs w:val="24"/>
        </w:rPr>
      </w:pPr>
      <w:r>
        <w:rPr>
          <w:rFonts w:hint="eastAsia"/>
          <w:sz w:val="24"/>
          <w:szCs w:val="24"/>
        </w:rPr>
        <w:t>Kemudian digambarkan pula bahwa jalan hidup mereka tampak selalu berhasil. Hukum Allah terasa jauh dari mereka, sehingga mereka meremehkan segala sesuatu yang bukan kehendak mereka. Mereka merasa aman dan tidak akan tergoyahkan. Mulut mereka penuh dengan sumpah serapah, tipu daya, dan penindasan. Perilaku mereka digambarkan seperti singa yang mengintai mangsa di tempat tersembunyi — licik, berencana, dan menakutkan bagi orang yang lemah. Puncak kejahatan mereka terlihat pada ayat 11, ketika mereka berkata dalam hati: "Allah tidak melihat, Dia menutup wajah-Nya dan tidak akan pernah melihatnya." Ini adalah puncak kesalahan pemahaman orang jahat — mereka mengira diamnya Allah berarti Allah tidak peduli.</w:t>
      </w:r>
    </w:p>
    <w:p w14:paraId="1BD3B8EC">
      <w:pPr>
        <w:rPr>
          <w:rFonts w:hint="eastAsia"/>
          <w:sz w:val="24"/>
          <w:szCs w:val="24"/>
        </w:rPr>
      </w:pPr>
      <w:r>
        <w:rPr>
          <w:rFonts w:hint="eastAsia"/>
          <w:b/>
          <w:bCs/>
          <w:sz w:val="24"/>
          <w:szCs w:val="24"/>
        </w:rPr>
        <w:t>II. Permohonan dan Pengakuan Iman (Ayat 12-15)</w:t>
      </w:r>
    </w:p>
    <w:p w14:paraId="2E4BD8C9">
      <w:pPr>
        <w:rPr>
          <w:rFonts w:hint="eastAsia"/>
          <w:sz w:val="24"/>
          <w:szCs w:val="24"/>
        </w:rPr>
      </w:pPr>
    </w:p>
    <w:p w14:paraId="4E10CAA9">
      <w:pPr>
        <w:rPr>
          <w:rFonts w:hint="eastAsia"/>
          <w:sz w:val="24"/>
          <w:szCs w:val="24"/>
        </w:rPr>
      </w:pPr>
      <w:r>
        <w:rPr>
          <w:rFonts w:hint="eastAsia"/>
          <w:sz w:val="24"/>
          <w:szCs w:val="24"/>
        </w:rPr>
        <w:t>Setelah mengeluarkan segala keluhannya, nada mazmur berubah dari pertanyaan menjadi permohonan yang tegas. Pemazmur memanggil Allah untuk bangkit bertindak. Di sini terlihat perubahan sikap: dari bertanya mengapa Allah diam, kini berdoa memohon agar Allah bertindak. Pemazmur sadar bahwa pertolongan tidak bisa datang dari manusia, melainkan hanya dari Allah saja.</w:t>
      </w:r>
    </w:p>
    <w:p w14:paraId="498B83D3">
      <w:pPr>
        <w:rPr>
          <w:rFonts w:hint="eastAsia"/>
          <w:sz w:val="24"/>
          <w:szCs w:val="24"/>
        </w:rPr>
      </w:pPr>
    </w:p>
    <w:p w14:paraId="07E35591">
      <w:pPr>
        <w:rPr>
          <w:rFonts w:hint="eastAsia"/>
          <w:sz w:val="24"/>
          <w:szCs w:val="24"/>
        </w:rPr>
      </w:pPr>
      <w:r>
        <w:rPr>
          <w:rFonts w:hint="eastAsia"/>
          <w:sz w:val="24"/>
          <w:szCs w:val="24"/>
        </w:rPr>
        <w:t>Pada ayat 14, terdapat titik balik yang sangat penting. Pemazmur menyatakan keyakinan: "Engkau memang melihatnya." Meskipun orang jahat mengira Allah tidak melihat, pemazmur tahu bahwa Allah justru melihat segala kesusahan dan kesakitan, dan Dia memperhatikannya untuk menegakkan keadilan. Ayat ini juga menegaskan bahwa Allah adalah tempat berlindung bagi orang lemah dan anak yatim — mereka yang tidak memiliki kekuatan sendiri dapat menyerahkan diri sepenuhnya kepada Tuhan.</w:t>
      </w:r>
    </w:p>
    <w:p w14:paraId="2C8A9DE9">
      <w:pPr>
        <w:rPr>
          <w:rFonts w:hint="eastAsia"/>
          <w:sz w:val="24"/>
          <w:szCs w:val="24"/>
        </w:rPr>
      </w:pPr>
    </w:p>
    <w:p w14:paraId="173914CC">
      <w:pPr>
        <w:rPr>
          <w:rFonts w:hint="eastAsia"/>
          <w:sz w:val="24"/>
          <w:szCs w:val="24"/>
        </w:rPr>
      </w:pPr>
      <w:r>
        <w:rPr>
          <w:rFonts w:hint="eastAsia"/>
          <w:sz w:val="24"/>
          <w:szCs w:val="24"/>
        </w:rPr>
        <w:t>Permohonan pada ayat 15 sangat spesifik: patahkanlah kekuatan orang jahat dan tuntutlah kejahatan mereka sampai tidak ada lagi yang ditemukan. Ini bukan berarti keinginan pribadi untuk membalas dendam, melainkan doa agar sumber kekuatan kejahatan itu dihentikan, sehingga penindasan tidak lagi terjadi di tengah masyarakat.</w:t>
      </w:r>
    </w:p>
    <w:p w14:paraId="6F5C8718">
      <w:pPr>
        <w:rPr>
          <w:rFonts w:hint="eastAsia"/>
          <w:sz w:val="24"/>
          <w:szCs w:val="24"/>
        </w:rPr>
      </w:pPr>
      <w:r>
        <w:rPr>
          <w:rFonts w:hint="eastAsia"/>
          <w:b/>
          <w:bCs/>
          <w:sz w:val="24"/>
          <w:szCs w:val="24"/>
        </w:rPr>
        <w:t>III. Keyakinan akan Keadilan Allah (Ayat 16-18)</w:t>
      </w:r>
    </w:p>
    <w:p w14:paraId="451E3802">
      <w:pPr>
        <w:rPr>
          <w:rFonts w:hint="eastAsia"/>
          <w:sz w:val="24"/>
          <w:szCs w:val="24"/>
        </w:rPr>
      </w:pPr>
    </w:p>
    <w:p w14:paraId="6E5A212D">
      <w:pPr>
        <w:rPr>
          <w:rFonts w:hint="eastAsia"/>
          <w:sz w:val="24"/>
          <w:szCs w:val="24"/>
        </w:rPr>
      </w:pPr>
      <w:r>
        <w:rPr>
          <w:rFonts w:hint="eastAsia"/>
          <w:sz w:val="24"/>
          <w:szCs w:val="24"/>
        </w:rPr>
        <w:t>Bagian penutup mazmur ini berubah menjadi pujian yang penuh keyakinan. Pemazmur menyatakan kebenaran teologis yang mendalam: TUHAN adalah Raja untuk seterusnya dan selama-lamanya. Bangsa-bangsa boleh datang dan pergi, kekuatan dunia boleh runtuh, tetapi pemerintahan Allah tetap berdiri. Inilah dasar penghiburan terbesar kita — bahwa di atas segala kejahatan yang tampak berkuasa, Allah tetap memerintah sebagai Raja yang kekal.</w:t>
      </w:r>
    </w:p>
    <w:p w14:paraId="02890649">
      <w:pPr>
        <w:rPr>
          <w:rFonts w:hint="eastAsia"/>
          <w:sz w:val="24"/>
          <w:szCs w:val="24"/>
        </w:rPr>
      </w:pPr>
    </w:p>
    <w:p w14:paraId="265401C4">
      <w:pPr>
        <w:rPr>
          <w:rFonts w:hint="eastAsia"/>
          <w:sz w:val="24"/>
          <w:szCs w:val="24"/>
        </w:rPr>
      </w:pPr>
      <w:r>
        <w:rPr>
          <w:rFonts w:hint="eastAsia"/>
          <w:sz w:val="24"/>
          <w:szCs w:val="24"/>
        </w:rPr>
        <w:t>Ayat 17-18 menegaskan dua hal yang sangat meyakinkan. Pertama, Allah mendengar doa orang yang tertindas. Tidak ada tangisan yang terbuang sia-sia di hadapan-Nya. Kedua, tujuan Allah bertindak adalah untuk memberi keadilan kepada yang lemah, anak yatim, dan orang yang terinjak — supaya tidak ada lagi manusia yang berani menakut-nakuti sesamanya. Keadilan Allah bukan sekadar menghukum yang jahat, tetapi memulihkan korban penindasan sehingga mereka dapat hidup dengan aman dan damai.</w:t>
      </w:r>
    </w:p>
    <w:p w14:paraId="262FDFC3">
      <w:pPr>
        <w:rPr>
          <w:rFonts w:hint="eastAsia"/>
          <w:sz w:val="24"/>
          <w:szCs w:val="24"/>
        </w:rPr>
      </w:pPr>
      <w:r>
        <w:rPr>
          <w:rFonts w:hint="eastAsia"/>
          <w:b/>
          <w:bCs/>
          <w:sz w:val="24"/>
          <w:szCs w:val="24"/>
        </w:rPr>
        <w:t xml:space="preserve">Kesimpulan </w:t>
      </w:r>
      <w:bookmarkStart w:id="0" w:name="_GoBack"/>
      <w:bookmarkEnd w:id="0"/>
    </w:p>
    <w:p w14:paraId="15D1F637">
      <w:pPr>
        <w:rPr>
          <w:rFonts w:hint="eastAsia"/>
          <w:sz w:val="24"/>
          <w:szCs w:val="24"/>
        </w:rPr>
      </w:pPr>
    </w:p>
    <w:p w14:paraId="341F37A4">
      <w:pPr>
        <w:rPr>
          <w:rFonts w:hint="eastAsia"/>
          <w:sz w:val="24"/>
          <w:szCs w:val="24"/>
        </w:rPr>
      </w:pPr>
      <w:r>
        <w:rPr>
          <w:rFonts w:hint="eastAsia"/>
          <w:sz w:val="24"/>
          <w:szCs w:val="24"/>
        </w:rPr>
        <w:t>Mazmur 10 mengajarkan kita beberapa kebenaran penting. Pertama, jujur kepada Allah tentang pergumulan kita bukanlah dosa. Kita boleh menyampaikan kebingungan dan rasa sakit kita kepada Tuhan. Kedua, diamnya Allah bukan berarti Allah absen atau tidak peduli. Allah selalu melihat, selalu mendengar, dan selalu bertindak pada waktu-Nya yang tepat. Ketiga, kejahatan mungkin tampak menang untuk sementara waktu, tetapi ia memiliki batas akhir. Allah adalah Hakim yang adil dan pemerintahan-Nya berdiri selama-lamanya. Kepercayaan kita tidak boleh diletakkan pada keadaan yang terlihat, melainkan pada karakter Allah yang kita kenal sebagai Allah yang melihat, mendengar, dan membelah keadilan bagi umat-Nya.</w:t>
      </w:r>
    </w:p>
    <w:p w14:paraId="2560983D">
      <w:pPr>
        <w:rPr>
          <w:rFonts w:hint="eastAsia"/>
          <w:sz w:val="24"/>
          <w:szCs w:val="24"/>
        </w:rPr>
      </w:pPr>
    </w:p>
    <w:p w14:paraId="4281D38C">
      <w:pPr>
        <w:rPr>
          <w:sz w:val="34"/>
          <w:szCs w:val="34"/>
          <w:lang w:val="id-ID"/>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altName w:val="Kingsoft Sign"/>
    <w:panose1 w:val="05050102010706020507"/>
    <w:charset w:val="02"/>
    <w:family w:val="roman"/>
    <w:pitch w:val="default"/>
    <w:sig w:usb0="00000000" w:usb1="00000000" w:usb2="00000000" w:usb3="00000000" w:csb0="80000000"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Apple Color Emoj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2026-10-29T20:54:54Z</dcterms:created>
  <dc:creator>iPhone</dc:creator>
  <cp:lastModifiedBy>iPhone</cp:lastModifiedBy>
  <dcterms:modified xsi:type="dcterms:W3CDTF">2026-10-29T20:57:15Z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2052-26.10.0</vt:lpwstr>
  </property>
  <property fmtid="{D5CDD505-2E9C-101B-9397-08002B2CF9AE}" pid="3" name="ICV">
    <vt:lpwstr>4C9B66B8A2E60F792E50E36AD4426EF4_31</vt:lpwstr>
  </property>
</Properties>
</file>