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00"/>
        <w:jc w:val="center"/>
      </w:pPr>
      <w:r>
        <w:rPr>
          <w:rFonts w:ascii="Times New Roman" w:hAnsi="Times New Roman"/>
          <w:b/>
          <w:sz w:val="28"/>
        </w:rPr>
        <w:t>BAB II</w:t>
        <w:br/>
        <w:t>STRUKTUR LITURGI DAN PERENCANAAN PERIBADATAN</w:t>
      </w:r>
    </w:p>
    <w:p>
      <w:pPr>
        <w:jc w:val="center"/>
      </w:pPr>
      <w:r>
        <w:rPr>
          <w:rFonts w:ascii="Times New Roman" w:hAnsi="Times New Roman"/>
          <w:b/>
          <w:sz w:val="24"/>
        </w:rPr>
        <w:t>Dalam Tradisi Pentakostal-Kharismatik</w:t>
      </w:r>
    </w:p>
    <w:p>
      <w:r>
        <w:br w:type="page"/>
      </w:r>
    </w:p>
    <w:p>
      <w:pPr>
        <w:pStyle w:val="Heading1"/>
        <w:jc w:val="left"/>
      </w:pPr>
      <w:r>
        <w:t>2.1 Hakikat Ibadah dalam Tradisi Pentakostal-Kharismatik</w:t>
      </w:r>
    </w:p>
    <w:p>
      <w:pPr>
        <w:spacing w:line="360" w:lineRule="auto"/>
        <w:ind w:firstLine="709"/>
        <w:jc w:val="both"/>
      </w:pPr>
      <w:r>
        <w:t>Ibadah merupakan tindakan umat percaya untuk merespons Allah yang lebih dahulu menyatakan diri, kasih, dan karya keselamatan-Nya. Oleh sebab itu, ibadah tidak dapat dipersempit menjadi kegiatan bernyanyi, mendengarkan khotbah, atau mengikuti susunan acara pada hari Minggu. Ibadah mencakup seluruh kehidupan manusia yang diarahkan kepada Allah. Roma 12:1 menyebut penyerahan tubuh sebagai persembahan yang hidup, kudus, dan berkenan kepada Allah. Dalam konteks Roma 12, Paulus menghubungkan kemurahan Allah yang dijelaskan sebelumnya dengan kehidupan yang diperbarui. Dengan demikian, ibadah bersama di gereja seharusnya membentuk cara hidup umat di luar gedung gereja.</w:t>
      </w:r>
    </w:p>
    <w:p>
      <w:pPr>
        <w:spacing w:line="360" w:lineRule="auto"/>
        <w:ind w:firstLine="709"/>
        <w:jc w:val="both"/>
      </w:pPr>
      <w:r>
        <w:t>Dalam tradisi Pentakostal-Kharismatik, ibadah menekankan pengalaman akan kehadiran dan karya Roh Kudus, keterlibatan jemaat, pujian dan penyembahan, doa, kesaksian, serta penggunaan karunia-karunia Roh. Penekanan ini tidak berarti bahwa pengalaman emosional menjadi ukuran utama kehadiran Allah. Pengalaman rohani perlu diuji melalui kesaksian Alkitab, pengakuan kepada Kristus, buah kehidupan, dan pembangunan jemaat. Allan Anderson menjelaskan bahwa Pentakostalisme berkembang sebagai gerakan Kristen global yang memiliki keragaman sejarah, budaya, dan ekspresi teologis. Karena itu, praktik ibadah Pentakostal di satu wilayah tidak dapat dianggap mewakili seluruh gereja Pentakostal di dunia.¹</w:t>
      </w:r>
    </w:p>
    <w:p>
      <w:pPr>
        <w:spacing w:line="360" w:lineRule="auto"/>
        <w:ind w:firstLine="709"/>
        <w:jc w:val="both"/>
      </w:pPr>
      <w:r>
        <w:t>Hakikat ibadah juga bersifat komunal. Jemaat bukan penonton yang hanya menyaksikan pemimpin pujian, pemusik, atau pengkhotbah. Menurut 1 Korintus 12, setiap anggota menerima karunia yang berbeda untuk kepentingan bersama. Karena itu, partisipasi jemaat harus dipahami sebagai bagian dari kehidupan tubuh Kristus. Musik dan tata panggung dapat membantu pelayanan, tetapi tidak boleh mengambil alih tujuan ibadah, yaitu memuliakan Allah dan membangun umat.</w:t>
      </w:r>
    </w:p>
    <w:p>
      <w:pPr>
        <w:pStyle w:val="Heading2"/>
        <w:jc w:val="left"/>
      </w:pPr>
      <w:r>
        <w:t>2.1.1 Ibadah sebagai Respons kepada Allah Tritunggal</w:t>
      </w:r>
    </w:p>
    <w:p>
      <w:pPr>
        <w:spacing w:line="360" w:lineRule="auto"/>
        <w:ind w:firstLine="709"/>
        <w:jc w:val="both"/>
      </w:pPr>
      <w:r>
        <w:t>Secara teologis, ibadah Kristen berpusat pada Allah Tritunggal: kepada Bapa, melalui Anak, dan di dalam Roh Kudus. Yohanes 4:23–24 menegaskan bahwa penyembah benar menyembah Bapa dalam roh dan kebenaran. Ungkapan ini tidak boleh ditafsirkan hanya sebagai ibadah yang spontan atau tanpa tata cara. Penyembahan dalam roh dan kebenaran menunjuk pada penyembahan yang dimungkinkan oleh karya Allah dan berlangsung sesuai penyataan-Nya. Melalui Kristus, orang percaya memperoleh jalan untuk datang kepada Bapa (Ef. 2:18; Ibr. 10:19–22), sedangkan Roh Kudus menolong dan memampukan umat untuk berdoa serta beribadah (Rm. 8:26; Flp. 3:3).</w:t>
      </w:r>
      <w:r>
        <w:rPr>
          <w:sz w:val="16"/>
          <w:vertAlign w:val="superscript"/>
        </w:rPr>
        <w:t>7</w:t>
      </w:r>
    </w:p>
    <w:p>
      <w:pPr>
        <w:spacing w:line="360" w:lineRule="auto"/>
        <w:ind w:firstLine="709"/>
        <w:jc w:val="both"/>
      </w:pPr>
      <w:r>
        <w:t>Landasan Trinitaris ini menjaga agar ibadah tidak berpusat pada manusia atau pengalaman tertentu. Pemimpin ibadah bukan pusat perjumpaan, melainkan pelayan yang menolong jemaat mengarahkan perhatian kepada Allah. Pengalaman rohani, nyanyian, doa, dan pemberitaan Firman memiliki tempat penting sejauh semuanya menyatakan karya Allah dan membawa jemaat kepada ketaatan.</w:t>
      </w:r>
    </w:p>
    <w:p>
      <w:pPr>
        <w:pStyle w:val="Heading2"/>
        <w:jc w:val="left"/>
      </w:pPr>
      <w:r>
        <w:t>2.1.2 Ibadah sebagai Pembentukan Jemaat dan Kesaksian</w:t>
      </w:r>
    </w:p>
    <w:p>
      <w:pPr>
        <w:spacing w:line="360" w:lineRule="auto"/>
        <w:ind w:firstLine="709"/>
        <w:jc w:val="both"/>
      </w:pPr>
      <w:r>
        <w:t>Ibadah membentuk identitas gereja. Dalam Kisah Para Rasul 2:42–47, kehidupan jemaat mula-mula ditandai oleh pengajaran rasul, persekutuan, pemecahan roti, doa, kepedulian, dan kesaksian di tengah masyarakat. Teks ini tidak memberikan satu susunan liturgi baku untuk semua gereja, tetapi memperlihatkan bahwa ibadah dan kehidupan bersama tidak dipisahkan. Persekutuan yang beribadah juga dipanggil untuk memperhatikan kebutuhan sesama.</w:t>
      </w:r>
      <w:r>
        <w:rPr>
          <w:sz w:val="16"/>
          <w:vertAlign w:val="superscript"/>
        </w:rPr>
        <w:t>8</w:t>
      </w:r>
    </w:p>
    <w:p>
      <w:pPr>
        <w:spacing w:line="360" w:lineRule="auto"/>
        <w:ind w:firstLine="709"/>
        <w:jc w:val="both"/>
      </w:pPr>
      <w:r>
        <w:t>Dengan demikian, keberhasilan ibadah tidak cukup dinilai dari jumlah orang yang hadir, kualitas musik, kemegahan gedung, atau suasana yang meriah. Pertanyaan teologis yang perlu diajukan ialah apakah ibadah memberitakan Kristus, membangun iman, menguatkan persekutuan, membentuk karakter, dan mendorong jemaat menjadi saksi di tengah masyarakat.</w:t>
      </w:r>
    </w:p>
    <w:p>
      <w:pPr>
        <w:pStyle w:val="Heading1"/>
        <w:jc w:val="left"/>
      </w:pPr>
      <w:r>
        <w:t>2.2 Landasan Biblika dan Teologis Ibadah</w:t>
      </w:r>
    </w:p>
    <w:p>
      <w:pPr>
        <w:spacing w:line="360" w:lineRule="auto"/>
        <w:ind w:firstLine="709"/>
        <w:jc w:val="both"/>
      </w:pPr>
      <w:r>
        <w:t>Landasan Alkitab bagi ibadah tidak hanya ditemukan dalam satu ayat, melainkan tersebar dalam kesaksian Perjanjian Lama dan Perjanjian Baru. Dalam Perjanjian Lama, umat Israel dipanggil untuk menyembah Allah yang membebaskan mereka dari perbudakan (Kel. 20:1–6; Ul. 6:4–5). Ibadah berkaitan dengan pengakuan bahwa hanya Tuhan yang layak disembah dan ditaati. Para nabi juga mengkritik ibadah yang dipisahkan dari keadilan dan kehidupan benar. Amos 5:21–24, misalnya, memperlihatkan bahwa perayaan keagamaan tidak berkenan apabila umat mengabaikan keadilan.</w:t>
      </w:r>
    </w:p>
    <w:p>
      <w:pPr>
        <w:spacing w:line="360" w:lineRule="auto"/>
        <w:ind w:firstLine="709"/>
        <w:jc w:val="both"/>
      </w:pPr>
      <w:r>
        <w:t>Dalam Perjanjian Baru, ibadah berpusat pada karya Yesus Kristus. Kematian dan kebangkitan Kristus menjadi dasar umat datang kepada Allah (Ibr. 10:19–25). Perjamuan Tuhan mengingatkan gereja akan kematian Kristus dan menantikan kedatangan-Nya kembali (1Kor. 11:23–26). Pemberitaan Firman, doa, nyanyian, persekutuan, dan pelayanan kasih merupakan bagian dari kehidupan jemaat yang berakar pada Injil. Kolose 3:16 menghubungkan firman Kristus, pengajaran, nasihat, mazmur, puji-pujian, dan nyanyian rohani.</w:t>
      </w:r>
    </w:p>
    <w:p>
      <w:pPr>
        <w:spacing w:line="360" w:lineRule="auto"/>
        <w:ind w:firstLine="709"/>
        <w:jc w:val="both"/>
      </w:pPr>
      <w:r>
        <w:t>Dari kesaksian tersebut dapat dirumuskan beberapa dasar teologis. Pertama, dasar teosentris: Allah adalah pusat dan tujuan ibadah. Kedua, dasar kristologis: ibadah Kristen berlangsung melalui karya dan pengantaraan Kristus. Ketiga, dasar pneumatologis: Roh Kudus menghidupkan, memperlengkapi, dan menuntun jemaat. Keempat, dasar eklesiologis: ibadah merupakan tindakan tubuh Kristus, bukan pertunjukan individu. Kelima, dasar eskatologis: gereja beribadah sambil menantikan penggenapan Kerajaan Allah.</w:t>
      </w:r>
    </w:p>
    <w:p>
      <w:pPr>
        <w:spacing w:line="360" w:lineRule="auto"/>
        <w:ind w:firstLine="709"/>
        <w:jc w:val="both"/>
      </w:pPr>
      <w:r>
        <w:t>Prinsip-prinsip tersebut perlu diterapkan secara utuh. Misalnya, 1 Korintus 14:26–33 tidak melarang karunia Roh, tetapi mengarahkan penggunaannya agar membangun jemaat dan berlangsung dengan tertib. Ayat 29 memerintahkan agar nubuat dinilai, sedangkan ayat 33 dan 40 menekankan Allah sebagai Allah damai sejahtera serta segala sesuatu dilakukan dengan sopan dan teratur. Karena itu, klaim bahwa suatu tindakan berasal dari Roh Kudus tidak membuat tindakan tersebut kebal dari pengujian Alkitab dan pertimbangan gereja.</w:t>
      </w:r>
    </w:p>
    <w:p>
      <w:pPr>
        <w:spacing w:line="360" w:lineRule="auto"/>
        <w:ind w:firstLine="709"/>
        <w:jc w:val="both"/>
      </w:pPr>
      <w:r>
        <w:t>Kebebasan Kristen juga perlu dijelaskan secara tepat. Kebebasan dalam ibadah dapat mencakup kebebasan mengangkat tangan, berlutut, bertepuk tangan, berdoa secara pribadi atau bersama, menyanyikan lagu dalam beragam gaya, dan menggunakan karunia Roh sesuai ajaran Alkitab. Kebebasan tersebut bukan kebebasan untuk menguasai ibadah, memaksakan pengalaman pribadi, menyampaikan ajaran yang tidak diuji, atau mengganggu jemaat lain. Galatia 5:13 mengingatkan bahwa kemerdekaan tidak boleh menjadi kesempatan untuk hidup dalam dosa, melainkan kesempatan untuk saling melayani dalam kasih. Jadi, kebebasan dalam ibadah adalah kebebasan yang bertanggung jawab di bawah kebenaran Injil, kasih, dan pembangunan jemaat.</w:t>
      </w:r>
    </w:p>
    <w:p>
      <w:pPr>
        <w:pStyle w:val="Heading1"/>
        <w:jc w:val="left"/>
      </w:pPr>
      <w:r>
        <w:t>2.3 Landasan Historis Perkembangan Liturgi Gereja</w:t>
      </w:r>
    </w:p>
    <w:p>
      <w:pPr>
        <w:spacing w:line="360" w:lineRule="auto"/>
        <w:ind w:firstLine="709"/>
        <w:jc w:val="both"/>
      </w:pPr>
      <w:r>
        <w:t>Sejarah liturgi memperlihatkan bahwa tata ibadah gereja mengalami perkembangan. Gereja mula-mula tidak langsung memiliki satu bentuk liturgi yang seragam di semua tempat. Praktik ibadah dipengaruhi oleh warisan ibadah Yahudi, kesaksian para rasul, kebutuhan jemaat setempat, dan perkembangan kehidupan gereja. Kajian Paul F. Bradshaw menunjukkan bahwa bentuk-bentuk ibadah Kristen pada empat abad pertama mengalami perubahan dan keragaman lokal sebelum muncul kecenderungan penyeragaman yang lebih luas.² Karena itu, sejarah liturgi perlu dibaca sebagai proses perkembangan, bukan sebagai satu susunan yang sejak awal sudah tetap.</w:t>
      </w:r>
    </w:p>
    <w:p>
      <w:pPr>
        <w:spacing w:line="360" w:lineRule="auto"/>
        <w:ind w:firstLine="709"/>
        <w:jc w:val="both"/>
      </w:pPr>
      <w:r>
        <w:t>Kisah Para Rasul 2:42 memberi gambaran mengenai pengajaran rasul, persekutuan, pemecahan roti, dan doa. Pada abad kedua, kesaksian Yustinus Martir dalam First Apology 65–67 menggambarkan pertemuan Kristen yang mencakup pembacaan tulisan para rasul dan nabi, nasihat pemimpin, doa bersama, ucapan syukur, serta pembagian roti dan anggur. Kesaksian ini penting sebagai sumber sejarah, tetapi tidak boleh dianggap sebagai bukti bahwa seluruh gereja pada masa itu menjalankan tata ibadah yang sama persis.³</w:t>
      </w:r>
    </w:p>
    <w:p>
      <w:pPr>
        <w:spacing w:line="360" w:lineRule="auto"/>
        <w:ind w:firstLine="709"/>
        <w:jc w:val="both"/>
      </w:pPr>
      <w:r>
        <w:t>Dalam perkembangan abad-abad berikutnya, gereja membangun bentuk ibadah yang semakin teratur, termasuk kalender gerejawi, pembinaan calon baptisan, pembacaan Alkitab, doa, dan perayaan Ekaristi atau Perjamuan Kudus. Perkembangan ini terjadi dalam konteks gereja yang semakin luas dan kemudian memperoleh kedudukan publik dalam Kekaisaran Romawi. Bentuk liturgi di wilayah Timur dan Barat berkembang dengan ciri masing-masing.</w:t>
      </w:r>
    </w:p>
    <w:p>
      <w:pPr>
        <w:spacing w:line="360" w:lineRule="auto"/>
        <w:ind w:firstLine="709"/>
        <w:jc w:val="both"/>
      </w:pPr>
      <w:r>
        <w:t>Pada masa Reformasi abad ke-16, para reformator meninjau kembali praktik ibadah berdasarkan pemahaman mereka terhadap Alkitab dan doktrin gereja. Martin Luther mempertahankan unsur-unsur liturgi yang dinilai sesuai dengan Injil, tetapi menolak praktik yang dianggap mengaburkan anugerah Allah. Tradisi Reformed, yang berkaitan dengan tokoh seperti Huldrych Zwingli dan Yohanes Calvin, memberi perhatian besar pada pemberitaan Firman, doa, nyanyian jemaat, dan pemahaman Perjamuan Kudus. Gereja Anglikan mengembangkan bentuk ibadah melalui buku doa bersama. Sementara itu, tradisi Katolik Roma mengalami pembaruan liturgis penting melalui Konsili Trente dan kemudian Konsili Vatikan II. Perbedaan ini menunjukkan bahwa gereja-gereja memiliki penekanan yang tidak selalu sama, tetapi semuanya perlu dipelajari secara historis dan teologis, bukan dinilai hanya dari selera.</w:t>
      </w:r>
    </w:p>
    <w:p>
      <w:pPr>
        <w:spacing w:line="360" w:lineRule="auto"/>
        <w:ind w:firstLine="709"/>
        <w:jc w:val="both"/>
      </w:pPr>
      <w:r>
        <w:t>Gerakan Pentakostal modern berkembang pada awal abad ke-20 melalui sejumlah pusat dan jaringan kebangunan rohani. Peristiwa Topeka pada 1901 dan Kebangunan Azusa Street di Los Angeles pada 1906 sering dibahas sebagai tonggak penting, tetapi perkembangan Pentakostalisme juga memiliki akar dan jalur lain di berbagai wilayah. Allan Anderson menekankan pentingnya melihat sejarah Pentakostalisme secara global, termasuk kontribusi komunitas di luar Eropa dan Amerika Utara.⁴ Penekanan pada baptisan Roh Kudus, karunia-karunia Roh, kesaksian, penyembuhan, dan partisipasi jemaat ikut membentuk corak ibadah Pentakostal.</w:t>
      </w:r>
    </w:p>
    <w:p>
      <w:pPr>
        <w:spacing w:line="360" w:lineRule="auto"/>
        <w:ind w:firstLine="709"/>
        <w:jc w:val="both"/>
      </w:pPr>
      <w:r>
        <w:t>Perkembangan gerakan Kharismatik pada pertengahan abad ke-20 membawa penekanan pada karunia Roh Kudus ke dalam berbagai tradisi gereja, termasuk gereja-gereja yang sebelumnya memiliki liturgi lebih mapan. Oleh sebab itu, istilah Pentakostal dan Kharismatik berhubungan, tetapi tidak selalu identik. Keduanya memiliki keragaman dalam pemahaman baptisan Roh, bahasa roh, nubuat, penyembuhan, dan bentuk tata ibadah. Penelitian akademis perlu menjelaskan perbedaan tersebut secara hati-hati.</w:t>
      </w:r>
    </w:p>
    <w:p>
      <w:pPr>
        <w:pStyle w:val="Heading1"/>
        <w:jc w:val="left"/>
      </w:pPr>
      <w:r>
        <w:t>2.4 Landasan Dogmatis dan Perbandingan Tradisi Gereja</w:t>
      </w:r>
    </w:p>
    <w:p>
      <w:pPr>
        <w:spacing w:line="360" w:lineRule="auto"/>
        <w:ind w:firstLine="709"/>
        <w:jc w:val="both"/>
      </w:pPr>
      <w:r>
        <w:t>Dogmatika adalah pembahasan ajaran iman gereja secara sistematis. Dalam kajian ibadah, dogmatika membantu menjelaskan mengapa gereja melakukan tindakan tertentu dan bagaimana tindakan itu berkaitan dengan ajaran tentang Allah, Kristus, Roh Kudus, gereja, keselamatan, dan sakramen. Liturgi bukan sekadar teknis acara karena susunan ibadah selalu mencerminkan pemahaman teologis suatu gereja. Frank C. Senn, dalam kajiannya tentang liturgi Kristen, memperlihatkan pentingnya membaca praktik ibadah melalui sejarah gereja, teologi, studi Alkitab, dan konteks tradisi yang berbeda.⁵</w:t>
      </w:r>
    </w:p>
    <w:p>
      <w:pPr>
        <w:spacing w:line="360" w:lineRule="auto"/>
        <w:ind w:firstLine="709"/>
        <w:jc w:val="both"/>
      </w:pPr>
      <w:r>
        <w:t>Dalam tradisi Katolik Roma, Ekaristi memiliki kedudukan sentral sebagai perayaan sakramental yang berkaitan erat dengan kehidupan gereja. Dalam tradisi Ortodoks, liturgi ilahi menekankan partisipasi umat dalam penyembahan yang dipahami sebagai perjumpaan dengan misteri Allah. Tradisi Lutheran mempertahankan pemberitaan Firman dan sakramen sebagai unsur penting pelayanan gereja. Tradisi Reformed memberi perhatian kuat pada otoritas Alkitab, pemberitaan Firman, doa, dan nyanyian jemaat. Tradisi Anglikan menggabungkan pola liturgis yang teratur dengan penekanan pada pembacaan Alkitab, doa, dan sakramen. Tradisi Baptis umumnya menekankan pembacaan dan pemberitaan Alkitab, doa, nyanyian, serta baptisan dan Perjamuan Tuhan menurut pemahaman gerejanya. Sementara itu, tradisi Pentakostal-Kharismatik cenderung memberi ruang lebih luas bagi ekspresi spontan, doa, kesaksian, dan karunia Roh.</w:t>
      </w:r>
    </w:p>
    <w:p>
      <w:pPr>
        <w:spacing w:line="360" w:lineRule="auto"/>
        <w:ind w:firstLine="709"/>
        <w:jc w:val="both"/>
      </w:pPr>
      <w:r>
        <w:t>Perbandingan tersebut merupakan gambaran umum, bukan penilaian mutlak terhadap setiap jemaat. Di dalam masing-masing tradisi terdapat variasi. Ada gereja Pentakostal yang liturginya sangat terencana, dan ada gereja dari tradisi liturgis yang menyediakan ruang bagi doa spontan. Karena itu, tidak tepat menyimpulkan bahwa gereja yang liturgis pasti kaku atau gereja yang spontan pasti lebih rohani. Ukuran teologisnya ialah kesetiaan kepada Injil, kesesuaian dengan Alkitab, pembangunan jemaat, dan pemuliaan Allah.</w:t>
      </w:r>
    </w:p>
    <w:p>
      <w:pPr>
        <w:spacing w:line="360" w:lineRule="auto"/>
        <w:ind w:firstLine="709"/>
        <w:jc w:val="both"/>
      </w:pPr>
      <w:r>
        <w:t>Istilah gereja besar dan gereja kecil perlu dibedakan dari istilah denominasi atau aliran teologi. Besar dan kecil dapat menunjuk pada jumlah jemaat, kapasitas gedung, sumber daya, serta kompleksitas organisasi. Hal tersebut bukan kategori dogmatis. Gereja besar dapat berasal dari tradisi Pentakostal, Reformed, Baptis, Katolik, atau tradisi lain; demikian pula gereja kecil. Gereja besar biasanya membutuhkan koordinasi pelayanan, pengaturan ruang, sistem suara, keamanan, dan pembagian tugas yang lebih kompleks. Gereja kecil mungkin memiliki hubungan antarjemaat yang lebih dekat dan pelayan yang merangkap beberapa tugas. Namun, keduanya tetap bertanggung jawab menjaga isi ibadah, pelayanan Firman, doa, persekutuan, dan kepedulian.</w:t>
      </w:r>
    </w:p>
    <w:p>
      <w:pPr>
        <w:spacing w:line="360" w:lineRule="auto"/>
        <w:ind w:firstLine="709"/>
        <w:jc w:val="both"/>
      </w:pPr>
      <w:r>
        <w:t>Secara dogmatis, ukuran gereja tidak menentukan kualitas iman atau kehadiran Allah. 1 Korintus 12:12–27 mengajarkan bahwa tubuh Kristus terdiri dari banyak anggota dengan fungsi yang berbeda. Ayat ini dapat menjadi dasar untuk menghargai gereja dengan sumber daya yang berbeda. Gereja besar tidak boleh mengukur keberhasilan hanya melalui kemegahan dan jumlah peserta, sedangkan gereja kecil tidak boleh merasa bahwa keterbatasan fasilitas membuat ibadahnya kurang bernilai. Keduanya dipanggil untuk setia dan melayani sesuai karunia serta kemampuan yang dimiliki.</w:t>
      </w:r>
    </w:p>
    <w:p>
      <w:pPr>
        <w:pStyle w:val="Heading1"/>
        <w:jc w:val="left"/>
      </w:pPr>
      <w:r>
        <w:t>2.5 Kebebasan dan Keteraturan dalam Ibadah</w:t>
      </w:r>
    </w:p>
    <w:p>
      <w:pPr>
        <w:spacing w:line="360" w:lineRule="auto"/>
        <w:ind w:firstLine="709"/>
        <w:jc w:val="both"/>
      </w:pPr>
      <w:r>
        <w:t>Kebebasan dalam ibadah Pentakostal-Kharismatik perlu dipahami dalam beberapa bentuk. Pertama, kebebasan ekspresi tubuh, seperti mengangkat tangan, bertepuk tangan, berdiri, atau berlutut (Mzm. 47:2; 63:5; 1Tim. 2:8). Kedua, kebebasan doa dan pujian, baik secara bersama maupun pribadi. Ketiga, ruang bagi karunia Roh, seperti bahasa roh, penafsiran bahasa roh, nubuat, dan bentuk pelayanan lainnya (1Kor. 12:4–11). Keempat, kebebasan kontekstual dalam memilih bahasa, alat musik, lagu, dan bentuk komunikasi yang dapat dipahami jemaat. Kebebasan ini bukan berarti semua bentuk harus digunakan dalam setiap ibadah.</w:t>
      </w:r>
      <w:r>
        <w:rPr>
          <w:sz w:val="16"/>
          <w:vertAlign w:val="superscript"/>
        </w:rPr>
        <w:t>9</w:t>
      </w:r>
    </w:p>
    <w:p>
      <w:pPr>
        <w:spacing w:line="360" w:lineRule="auto"/>
        <w:ind w:firstLine="709"/>
        <w:jc w:val="both"/>
      </w:pPr>
      <w:r>
        <w:t>Keteraturan tidak dimaksudkan untuk memadamkan Roh Kudus. Dalam 1 Tesalonika 5:19–22, Paulus mengingatkan jemaat agar tidak memadamkan Roh dan tidak meremehkan nubuat, tetapi segala sesuatu harus diuji dan yang baik harus dipegang. Dalam 1 Korintus 14:26–40, karunia-karunia dipakai untuk membangun jemaat dan dilakukan secara tertib. Kedua bagian ini memperlihatkan keseimbangan antara keterbukaan terhadap karya Roh dan tanggung jawab untuk menguji serta mengatur pelaksanaannya.</w:t>
      </w:r>
    </w:p>
    <w:p>
      <w:pPr>
        <w:spacing w:line="360" w:lineRule="auto"/>
        <w:ind w:firstLine="709"/>
        <w:jc w:val="both"/>
      </w:pPr>
      <w:r>
        <w:t>Dalam praktik, pemimpin ibadah perlu menjelaskan tata cara pelayanan, menjaga agar satu orang tidak mendominasi, memberi ruang bagi jemaat untuk berpartisipasi, dan memastikan bahwa setiap kesaksian atau nubuat tidak bertentangan dengan ajaran Alkitab. Apabila muncul tindakan yang mengganggu, merendahkan orang lain, atau menimbulkan kebingungan, pemimpin perlu menanganinya dengan kasih dan ketegasan. Dengan demikian, keteraturan bukan lawan kebebasan, melainkan bentuk tanggung jawab agar kebebasan membawa kebaikan bagi seluruh jemaat.</w:t>
      </w:r>
    </w:p>
    <w:p>
      <w:pPr>
        <w:pStyle w:val="Heading1"/>
        <w:jc w:val="left"/>
      </w:pPr>
      <w:r>
        <w:t>2.6 Struktur dan Unsur-Unsur Liturgi Ibadah Pentakostal-Kharismatik</w:t>
      </w:r>
    </w:p>
    <w:p>
      <w:pPr>
        <w:spacing w:line="360" w:lineRule="auto"/>
        <w:ind w:firstLine="709"/>
        <w:jc w:val="both"/>
      </w:pPr>
      <w:r>
        <w:t>Liturgi adalah tata susunan dan tindakan yang menolong jemaat berkumpul, mendengar Firman, berdoa, memuji Allah, merayakan sakramen atau ordinansi, serta diutus untuk menjalani panggilan Kristen. James F. White menjelaskan ibadah Kristen sebagai bidang yang perlu dipelajari dari bentuk, sejarah, teologi, dan praktik berbagai gereja.⁶ Dengan demikian, liturgi bukan sekadar daftar acara, tetapi cara gereja mengungkapkan imannya melalui tindakan bersama.</w:t>
      </w:r>
    </w:p>
    <w:p>
      <w:pPr>
        <w:spacing w:line="360" w:lineRule="auto"/>
        <w:ind w:firstLine="709"/>
        <w:jc w:val="both"/>
      </w:pPr>
      <w:r>
        <w:t>Tidak ada satu susunan yang wajib dipakai secara identik oleh semua gereja Pentakostal-Kharismatik. Namun, beberapa unsur umum dapat ditemukan, seperti pembukaan, pujian dan penyembahan, doa, pembacaan Alkitab, pemberitaan Firman, persembahan, Perjamuan Tuhan apabila dijadwalkan, doa respons, dan pengutusan. Susunan dapat disesuaikan dengan jenis ibadah, kalender gerejawi, kebutuhan jemaat, serta kebijakan gereja.</w:t>
      </w:r>
    </w:p>
    <w:p>
      <w:pPr>
        <w:pStyle w:val="Heading2"/>
        <w:jc w:val="left"/>
      </w:pPr>
      <w:r>
        <w:t>2.6.1 Pembukaan dan Panggilan Beribadah</w:t>
      </w:r>
    </w:p>
    <w:p>
      <w:pPr>
        <w:spacing w:line="360" w:lineRule="auto"/>
        <w:ind w:firstLine="709"/>
        <w:jc w:val="both"/>
      </w:pPr>
      <w:r>
        <w:t>Pembukaan menolong jemaat menyadari tujuan pertemuan. Salam, pembacaan Alkitab, doa pembukaan, atau panggilan beribadah dapat digunakan untuk mengarahkan perhatian kepada Allah. Mazmur 95:1–7 mengajak umat datang dengan nyanyian syukur sekaligus menyembah Tuhan sebagai Pencipta dan Gembala. Karena itu, pembukaan sebaiknya tidak hanya menjadi pengumuman acara, tetapi mengantar jemaat memasuki ibadah dengan kesadaran iman.</w:t>
      </w:r>
    </w:p>
    <w:p>
      <w:pPr>
        <w:pStyle w:val="Heading2"/>
        <w:jc w:val="left"/>
      </w:pPr>
      <w:r>
        <w:t>2.6.2 Pujian dan Penyembahan</w:t>
      </w:r>
    </w:p>
    <w:p>
      <w:pPr>
        <w:spacing w:line="360" w:lineRule="auto"/>
        <w:ind w:firstLine="709"/>
        <w:jc w:val="both"/>
      </w:pPr>
      <w:r>
        <w:t>Pujian dan penyembahan memberi kesempatan kepada jemaat untuk mengungkapkan syukur, pengakuan, dan penghormatan kepada Allah. Efesus 5:18–20 menghubungkan kehidupan yang dipenuhi Roh dengan mazmur, puji-pujian, nyanyian rohani, dan ucapan syukur. Kolose 3:16 menempatkan firman Kristus sebagai dasar pengajaran dan nyanyian jemaat. Karena itu, pemilihan lagu perlu memperhatikan isi teologis, kesesuaian dengan tema, keterpahaman bahasa, serta kemampuan jemaat untuk bernyanyi bersama.</w:t>
      </w:r>
      <w:r>
        <w:rPr>
          <w:sz w:val="16"/>
          <w:vertAlign w:val="superscript"/>
        </w:rPr>
        <w:t>10</w:t>
      </w:r>
    </w:p>
    <w:p>
      <w:pPr>
        <w:spacing w:line="360" w:lineRule="auto"/>
        <w:ind w:firstLine="709"/>
        <w:jc w:val="both"/>
      </w:pPr>
      <w:r>
        <w:t>Perbedaan tempo atau suasana lagu tidak boleh dijadikan ukuran tunggal kedalaman rohani. Lagu yang cepat tidak otomatis lebih penuh Roh, dan lagu yang lambat tidak otomatis lebih khusyuk. Yang perlu dinilai adalah isi, tujuan, dan dampaknya bagi jemaat. Pemimpin pujian perlu memahami lirik yang dinyanyikan agar tidak menyampaikan gagasan yang keliru tentang Allah, keselamatan, manusia, atau kehidupan Kristen.</w:t>
      </w:r>
    </w:p>
    <w:p>
      <w:pPr>
        <w:pStyle w:val="Heading2"/>
        <w:jc w:val="left"/>
      </w:pPr>
      <w:r>
        <w:t>2.6.3 Doa dan Syafaat</w:t>
      </w:r>
    </w:p>
    <w:p>
      <w:pPr>
        <w:spacing w:line="360" w:lineRule="auto"/>
        <w:ind w:firstLine="709"/>
        <w:jc w:val="both"/>
      </w:pPr>
      <w:r>
        <w:t>Doa merupakan respons iman dan ketergantungan kepada Allah. Dalam ibadah, doa dapat berupa ucapan syukur, pengakuan dosa, permohonan, doa syafaat, dan doa respons setelah Firman. 1 Timotius 2:1–2 mendorong jemaat menaikkan permohonan, doa, syafaat, dan ucapan syukur bagi semua orang. Doa perlu disampaikan dengan jelas, tidak memanipulasi emosi, dan tidak digunakan untuk mempermalukan orang yang sedang bergumul.</w:t>
      </w:r>
    </w:p>
    <w:p>
      <w:pPr>
        <w:pStyle w:val="Heading2"/>
        <w:jc w:val="left"/>
      </w:pPr>
      <w:r>
        <w:t>2.6.4 Kesaksian dan Pelayanan Karunia Roh</w:t>
      </w:r>
    </w:p>
    <w:p>
      <w:pPr>
        <w:spacing w:line="360" w:lineRule="auto"/>
        <w:ind w:firstLine="709"/>
        <w:jc w:val="both"/>
      </w:pPr>
      <w:r>
        <w:t>Kesaksian dapat menguatkan jemaat ketika menceritakan pertolongan Allah secara jujur dan berpusat pada karya-Nya. Kesaksian tidak boleh digunakan untuk membangun popularitas pribadi atau menjanjikan bahwa pengalaman seseorang pasti terjadi pada semua orang. Pelayanan karunia Roh perlu mengikuti prinsip 1 Korintus 12–14, yaitu berasal dari Roh yang sama, digunakan untuk kepentingan bersama, diuji, dan membangun jemaat. Pemimpin gereja perlu menyediakan tata cara yang jelas agar pelayanan ini berlangsung dengan bertanggung jawab.</w:t>
      </w:r>
    </w:p>
    <w:p>
      <w:pPr>
        <w:pStyle w:val="Heading2"/>
        <w:jc w:val="left"/>
      </w:pPr>
      <w:r>
        <w:t>2.6.5 Pembacaan dan Pemberitaan Firman</w:t>
      </w:r>
    </w:p>
    <w:p>
      <w:pPr>
        <w:spacing w:line="360" w:lineRule="auto"/>
        <w:ind w:firstLine="709"/>
        <w:jc w:val="both"/>
      </w:pPr>
      <w:r>
        <w:t>Pembacaan dan pemberitaan Firman merupakan unsur utama karena gereja dipanggil untuk mendengar dan menaati penyataan Allah. 2 Timotius 3:16–17 menjelaskan fungsi Kitab Suci untuk mengajar, menyatakan kesalahan, memperbaiki kelakuan, dan mendidik dalam kebenaran. Pengkhotbah perlu memperhatikan konteks teks, maksud penulis, latar sejarah, bentuk sastra, dan hubungan teks dengan keseluruhan kesaksian Alkitab. Pemberitaan tidak seharusnya hanya memakai ayat sebagai slogan untuk mendukung pendapat pribadi.</w:t>
      </w:r>
    </w:p>
    <w:p>
      <w:pPr>
        <w:pStyle w:val="Heading2"/>
        <w:jc w:val="left"/>
      </w:pPr>
      <w:r>
        <w:t>2.6.6 Persembahan</w:t>
      </w:r>
    </w:p>
    <w:p>
      <w:pPr>
        <w:spacing w:line="360" w:lineRule="auto"/>
        <w:ind w:firstLine="709"/>
        <w:jc w:val="both"/>
      </w:pPr>
      <w:r>
        <w:t>Persembahan merupakan ungkapan syukur dan partisipasi jemaat dalam pelayanan. 2 Korintus 9:6–8 menekankan pemberian yang dilakukan dengan kerelaan, bukan karena paksaan. Karena itu, gereja perlu menjelaskan tujuan persembahan secara transparan dan menghindari tekanan, ancaman, atau janji bahwa pemberian tertentu pasti menghasilkan keuntungan materi. Pengelolaan persembahan harus disertai akuntabilitas dan tanggung jawab.</w:t>
      </w:r>
    </w:p>
    <w:p>
      <w:pPr>
        <w:pStyle w:val="Heading2"/>
        <w:jc w:val="left"/>
      </w:pPr>
      <w:r>
        <w:t>2.6.7 Perjamuan Tuhan dan Baptisan</w:t>
      </w:r>
    </w:p>
    <w:p>
      <w:pPr>
        <w:spacing w:line="360" w:lineRule="auto"/>
        <w:ind w:firstLine="709"/>
        <w:jc w:val="both"/>
      </w:pPr>
      <w:r>
        <w:t>Perjamuan Tuhan dan baptisan merupakan tindakan gerejawi yang memiliki dasar penting dalam Perjanjian Baru. Pelaksanaan dan pemahamannya berbeda di antara tradisi gereja. Sebagian tradisi menyebutnya sakramen, sedangkan sebagian gereja Injili dan Pentakostal menggunakan istilah ordinansi. Perbedaan istilah ini mencerminkan perbedaan pemahaman dogmatis, sehingga gereja perlu mengikuti pengakuan iman dan tata gerejanya sendiri, sambil tetap menjelaskan dasar Alkitab seperti Matius 28:19–20 dan 1 Korintus 11:23–26. Tidak tepat menganggap unsur ini selalu harus muncul pada setiap ibadah mingguan di semua denominasi.</w:t>
      </w:r>
      <w:r>
        <w:rPr>
          <w:sz w:val="16"/>
          <w:vertAlign w:val="superscript"/>
        </w:rPr>
        <w:t>11</w:t>
      </w:r>
    </w:p>
    <w:p>
      <w:pPr>
        <w:pStyle w:val="Heading2"/>
        <w:jc w:val="left"/>
      </w:pPr>
      <w:r>
        <w:t>2.6.8 Doa Penutup dan Pengutusan</w:t>
      </w:r>
    </w:p>
    <w:p>
      <w:pPr>
        <w:spacing w:line="360" w:lineRule="auto"/>
        <w:ind w:firstLine="709"/>
        <w:jc w:val="both"/>
      </w:pPr>
      <w:r>
        <w:t>Pengutusan mengingatkan jemaat bahwa ibadah berlanjut dalam kehidupan sehari-hari. Matius 28:18–20 menempatkan murid-murid dalam panggilan untuk menjadikan semua bangsa murid Kristus. Doa penutup bukan sekadar tanda bahwa acara selesai, melainkan permohonan agar jemaat hidup dalam ketaatan, kasih, dan kesaksian. Dengan demikian, liturgi memiliki arah keluar: jemaat kembali ke keluarga, pekerjaan, pendidikan, dan masyarakat sebagai saksi Kristus.</w:t>
      </w:r>
    </w:p>
    <w:p>
      <w:pPr>
        <w:pStyle w:val="Heading1"/>
        <w:jc w:val="left"/>
      </w:pPr>
      <w:r>
        <w:t>2.7 Perencanaan Peribadatan dalam Gereja Pentakostal-Kharismatik</w:t>
      </w:r>
    </w:p>
    <w:p>
      <w:pPr>
        <w:spacing w:line="360" w:lineRule="auto"/>
        <w:ind w:firstLine="709"/>
        <w:jc w:val="both"/>
      </w:pPr>
      <w:r>
        <w:t>Perencanaan peribadatan adalah proses mempersiapkan tujuan, isi, pelayan, sarana, dan alur ibadah. Perencanaan tidak berarti mengendalikan Roh Kudus atau memastikan seluruh peristiwa harus berjalan persis seperti naskah. Perencanaan merupakan bentuk tanggung jawab manusia dalam pelayanan. Prinsip 1 Korintus 14:40, yaitu segala sesuatu dilakukan dengan sopan dan teratur, dapat menjadi dasar penting bagi pengelolaan ibadah.</w:t>
      </w:r>
    </w:p>
    <w:p>
      <w:pPr>
        <w:spacing w:line="360" w:lineRule="auto"/>
        <w:ind w:firstLine="709"/>
        <w:jc w:val="both"/>
      </w:pPr>
      <w:r>
        <w:t>Perencanaan yang baik dimulai dari pemahaman terhadap kebutuhan jemaat. Gereja perlu mengenali usia, bahasa, latar pendidikan, kondisi sosial, kebutuhan pastoral, serta kemampuan teknis yang tersedia. Tema dan tujuan ibadah kemudian dirumuskan berdasarkan teks Alkitab. Setelah itu, lagu, doa, pembacaan Firman, pelayanan khusus, dan pengutusan disusun agar memiliki hubungan yang jelas.</w:t>
      </w:r>
    </w:p>
    <w:p>
      <w:pPr>
        <w:pStyle w:val="Heading2"/>
        <w:jc w:val="left"/>
      </w:pPr>
      <w:r>
        <w:t>2.7.1 Menentukan Tema, Tujuan, dan Dasar Alkitab</w:t>
      </w:r>
    </w:p>
    <w:p>
      <w:pPr>
        <w:spacing w:line="360" w:lineRule="auto"/>
        <w:ind w:firstLine="709"/>
        <w:jc w:val="both"/>
      </w:pPr>
      <w:r>
        <w:t>Tema harus dirumuskan secara jelas dan tidak terlalu luas. Tujuan ibadah menjelaskan pemahaman atau respons iman yang diharapkan muncul pada jemaat. Dasar Alkitab dipilih melalui pembacaan konteks, bukan hanya karena satu ayat memuat kata yang sama dengan tema. Misalnya, tema tentang pengampunan perlu memperhatikan konteks ajaran Yesus dan keseluruhan pesan Alkitab tentang anugerah, pertobatan, serta pemulihan hubungan.</w:t>
      </w:r>
    </w:p>
    <w:p>
      <w:pPr>
        <w:pStyle w:val="Heading2"/>
        <w:jc w:val="left"/>
      </w:pPr>
      <w:r>
        <w:t>2.7.2 Menyusun Alur dan Memilih Materi</w:t>
      </w:r>
    </w:p>
    <w:p>
      <w:pPr>
        <w:spacing w:line="360" w:lineRule="auto"/>
        <w:ind w:firstLine="709"/>
        <w:jc w:val="both"/>
      </w:pPr>
      <w:r>
        <w:t>Setelah tema dan dasar Alkitab ditentukan, tim menyusun alur ibadah. Setiap bagian perlu memiliki fungsi dan hubungan dengan bagian lain. Lagu dipilih berdasarkan isi teologis, keterpahaman, dan kemampuan jemaat. Doa dan kesaksian disiapkan secara proporsional. Pemberitaan Firman dikoordinasikan dengan pemimpin ibadah agar keseluruhan rangkaian tidak berjalan terpisah.</w:t>
      </w:r>
    </w:p>
    <w:p>
      <w:pPr>
        <w:pStyle w:val="Heading2"/>
        <w:jc w:val="left"/>
      </w:pPr>
      <w:r>
        <w:t>2.7.3 Pembagian Tugas dan Persiapan Pelayan</w:t>
      </w:r>
    </w:p>
    <w:p>
      <w:pPr>
        <w:spacing w:line="360" w:lineRule="auto"/>
        <w:ind w:firstLine="709"/>
        <w:jc w:val="both"/>
      </w:pPr>
      <w:r>
        <w:t>Pelayan dapat terdiri dari pemimpin ibadah, pemimpin pujian, penyanyi, pemusik, pembaca Alkitab, pendoa, pengkhotbah, penerima tamu, operator multimedia, dan petugas teknis. Pembagian tugas harus disesuaikan dengan jumlah pelayan yang tersedia. Dalam gereja kecil, satu orang mungkin memegang lebih dari satu tanggung jawab, tetapi tugas dan batas pelayanannya tetap perlu dipahami. Dalam gereja besar, koordinasi antartim menjadi semakin penting agar pelayanan tidak saling mengganggu.</w:t>
      </w:r>
    </w:p>
    <w:p>
      <w:pPr>
        <w:pStyle w:val="Heading2"/>
        <w:jc w:val="left"/>
      </w:pPr>
      <w:r>
        <w:t>2.7.4 Persiapan Teknis dan Komunikasi</w:t>
      </w:r>
    </w:p>
    <w:p>
      <w:pPr>
        <w:spacing w:line="360" w:lineRule="auto"/>
        <w:ind w:firstLine="709"/>
        <w:jc w:val="both"/>
      </w:pPr>
      <w:r>
        <w:t>Mikrofon, alat musik, kabel, proyektor, layar, pencahayaan, dan sistem suara perlu diperiksa sebelum ibadah. Persiapan teknis bukan hal yang bertentangan dengan spiritualitas. Justru kesiapan teknis dapat mengurangi gangguan sehingga jemaat lebih mudah mengikuti ibadah. Tim juga perlu menyepakati tanda, urutan lagu, durasi, dan cara berkomunikasi apabila terjadi perubahan.</w:t>
      </w:r>
    </w:p>
    <w:p>
      <w:pPr>
        <w:pStyle w:val="Heading2"/>
        <w:jc w:val="left"/>
      </w:pPr>
      <w:r>
        <w:t>2.7.5 Evaluasi Peribadatan</w:t>
      </w:r>
    </w:p>
    <w:p>
      <w:pPr>
        <w:spacing w:line="360" w:lineRule="auto"/>
        <w:ind w:firstLine="709"/>
        <w:jc w:val="both"/>
      </w:pPr>
      <w:r>
        <w:t>Evaluasi dilakukan untuk melihat apakah tujuan ibadah tercapai dan bagian mana yang perlu diperbaiki. Aspek yang dapat dievaluasi meliputi kesesuaian tema dan Firman, keterlibatan jemaat, kejelasan suara, ketepatan waktu, komunikasi pelayan, akses bagi lansia dan penyandang disabilitas, serta pengelolaan persembahan. Evaluasi tidak bertujuan mencari kambing hitam, melainkan membangun budaya pelayanan yang bertanggung jawab. Hasil evaluasi menjadi dasar perencanaan berikutnya.</w:t>
      </w:r>
    </w:p>
    <w:p>
      <w:pPr>
        <w:pStyle w:val="Heading1"/>
        <w:jc w:val="left"/>
      </w:pPr>
      <w:r>
        <w:t>2.8 Kontekstualisasi Ibadah: Gereja Perkotaan dan Pedesaan</w:t>
      </w:r>
    </w:p>
    <w:p>
      <w:pPr>
        <w:spacing w:line="360" w:lineRule="auto"/>
        <w:ind w:firstLine="709"/>
        <w:jc w:val="both"/>
      </w:pPr>
      <w:r>
        <w:t>Kontekstualisasi berarti menyampaikan dan melaksanakan iman Kristen dengan memperhatikan keadaan nyata masyarakat tanpa mengubah inti Injil. Bentuk ibadah dapat dipengaruhi oleh bahasa, budaya, mata pencaharian, pendidikan, mobilitas, teknologi, dan fasilitas setempat. Kontekstualisasi bukan berarti mengikuti semua kebiasaan masyarakat tanpa penilaian teologis. Gereja perlu membedakan unsur budaya yang dapat digunakan sebagai sarana komunikasi dengan unsur yang bertentangan dengan iman Kristen.</w:t>
      </w:r>
    </w:p>
    <w:p>
      <w:pPr>
        <w:spacing w:line="360" w:lineRule="auto"/>
        <w:ind w:firstLine="709"/>
        <w:jc w:val="both"/>
      </w:pPr>
      <w:r>
        <w:t>Dalam konteks perkotaan, jemaat sering memiliki latar belakang yang beragam, jadwal kerja yang padat, mobilitas tinggi, dan akses teknologi yang lebih luas. Gereja perkotaan dapat menggunakan beberapa jadwal ibadah, pelayanan kelompok kecil, media digital, dan sistem koordinasi yang lebih kompleks. Namun, tantangannya adalah menjaga agar ibadah tidak berubah menjadi konsumsi rohani yang berorientasi pada kualitas pertunjukan, popularitas pengkhotbah, atau kenyamanan pribadi. Gereja perlu membangun relasi yang nyata dan kepedulian terhadap masyarakat kota.</w:t>
      </w:r>
    </w:p>
    <w:p>
      <w:pPr>
        <w:spacing w:line="360" w:lineRule="auto"/>
        <w:ind w:firstLine="709"/>
        <w:jc w:val="both"/>
      </w:pPr>
      <w:r>
        <w:t>Dalam konteks pedesaan, gereja dapat berhadapan dengan hubungan sosial yang lebih dekat, penggunaan bahasa daerah, keterbatasan transportasi, fasilitas, atau tenaga pelayan. Kondisi ini tidak berlaku sama di semua desa. Gereja pedesaan dapat mengembangkan ibadah yang memakai bahasa yang dipahami jemaat, melibatkan musik lokal yang sesuai dengan iman Kristen, dan menghubungkan pemberitaan Firman dengan kehidupan keluarga, pertanian, pekerjaan, serta hubungan sosial. Tantangannya adalah memastikan keterbatasan sarana tidak mengurangi mutu pengajaran dan pelayanan pastoral.</w:t>
      </w:r>
    </w:p>
    <w:p>
      <w:pPr>
        <w:spacing w:line="360" w:lineRule="auto"/>
        <w:ind w:firstLine="709"/>
        <w:jc w:val="both"/>
      </w:pPr>
      <w:r>
        <w:t>Perbandingan kota dan desa tidak boleh dibuat secara stereotip. Tidak semua gereja kota memiliki fasilitas lengkap, dan tidak semua gereja desa kekurangan sumber daya. Ada gereja pedesaan yang memiliki teknologi baik, sementara gereja perkotaan dapat menghadapi kesenjangan ekonomi dan keterbatasan ruang. Oleh karena itu, perencanaan ibadah harus dimulai dari penelitian sederhana terhadap jemaat setempat, bukan dari anggapan umum.</w:t>
      </w:r>
    </w:p>
    <w:p>
      <w:pPr>
        <w:spacing w:line="360" w:lineRule="auto"/>
        <w:ind w:firstLine="709"/>
        <w:jc w:val="both"/>
      </w:pPr>
      <w:r>
        <w:t>Kontekstualisasi juga menyangkut inklusivitas. Gereja perlu mempertimbangkan anak-anak, remaja, orang dewasa, lansia, keluarga, jemaat dengan keterbatasan pendengaran atau mobilitas, serta orang yang baru pertama kali datang. Bahasa khotbah dan lagu perlu dapat dipahami. Volume musik perlu memperhatikan kenyamanan jemaat. Tata ruang sebaiknya memberi akses yang aman. Dengan demikian, ibadah menjadi persekutuan yang memperhatikan seluruh anggota tubuh Kristus.</w:t>
      </w:r>
    </w:p>
    <w:p>
      <w:pPr>
        <w:pStyle w:val="Heading1"/>
        <w:jc w:val="left"/>
      </w:pPr>
      <w:r>
        <w:t>2.9 Pelaksanaan dan Evaluasi Peribadatan</w:t>
      </w:r>
    </w:p>
    <w:p>
      <w:pPr>
        <w:spacing w:line="360" w:lineRule="auto"/>
        <w:ind w:firstLine="709"/>
        <w:jc w:val="both"/>
      </w:pPr>
      <w:r>
        <w:t>Pada saat ibadah berlangsung, rancangan berfungsi sebagai pedoman, bukan sebagai aturan yang meniadakan kebijaksanaan. Pemimpin ibadah perlu menjaga alur, memperhatikan kondisi jemaat, dan berkoordinasi dengan pelayan lain. Apabila terjadi perubahan, keputusan perlu mempertimbangkan tujuan ibadah, waktu, keterlibatan jemaat, dan prinsip Alkitab. Kepekaan terhadap Roh Kudus harus berjalan bersama pengujian, kerendahan hati, dan tanggung jawab.</w:t>
      </w:r>
    </w:p>
    <w:p>
      <w:pPr>
        <w:spacing w:line="360" w:lineRule="auto"/>
        <w:ind w:firstLine="709"/>
        <w:jc w:val="both"/>
      </w:pPr>
      <w:r>
        <w:t>Evaluasi juga perlu memperhatikan buah pelayanan, bukan hanya hal yang mudah diukur. Jumlah peserta dan kualitas teknis dapat menjadi informasi, tetapi tidak cukup untuk menilai pertumbuhan iman. Gereja dapat memperhatikan apakah jemaat memahami Firman, terlibat dalam persekutuan, bertumbuh dalam kasih, peduli terhadap yang lemah, dan menjalankan kesaksian Kristen. Penilaian tersebut membutuhkan proses pastoral yang berkelanjutan, bukan kesimpulan berdasarkan satu kali ibadah.</w:t>
      </w:r>
    </w:p>
    <w:p>
      <w:pPr>
        <w:pStyle w:val="Heading1"/>
        <w:jc w:val="left"/>
      </w:pPr>
      <w:r>
        <w:t>2.10 Kesimpulan</w:t>
      </w:r>
    </w:p>
    <w:p>
      <w:pPr>
        <w:spacing w:line="360" w:lineRule="auto"/>
        <w:ind w:firstLine="709"/>
        <w:jc w:val="both"/>
      </w:pPr>
      <w:r>
        <w:t>Struktur liturgi dan perencanaan peribadatan dalam tradisi Pentakostal-Kharismatik perlu dipahami melalui landasan Alkitab, teologi, sejarah, dan dogmatika. Secara biblika, ibadah merupakan respons umat kepada Allah dan mencakup kehidupan bersama serta kehidupan sehari-hari. Secara teologis, ibadah berpusat pada Allah Tritunggal, berlandaskan karya Kristus, dihidupkan oleh Roh Kudus, membangun gereja, dan mengarahkan jemaat kepada pengharapan Kerajaan Allah.</w:t>
      </w:r>
    </w:p>
    <w:p>
      <w:pPr>
        <w:spacing w:line="360" w:lineRule="auto"/>
        <w:ind w:firstLine="709"/>
        <w:jc w:val="both"/>
      </w:pPr>
      <w:r>
        <w:t>Secara historis, liturgi gereja berkembang dalam keragaman sejak masa gereja mula-mula, mengalami perubahan pada masa gereja kuno dan Reformasi, serta memperoleh ekspresi yang beragam dalam gerakan Pentakostal-Kharismatik. Secara dogmatis, tradisi gereja memiliki penekanan yang berbeda mengenai Firman, sakramen, karunia Roh, dan bentuk ibadah. Perbedaan tersebut perlu dipelajari secara adil dan tidak dijadikan dasar untuk merendahkan tradisi lain.</w:t>
      </w:r>
    </w:p>
    <w:p>
      <w:pPr>
        <w:spacing w:line="360" w:lineRule="auto"/>
        <w:ind w:firstLine="709"/>
        <w:jc w:val="both"/>
      </w:pPr>
      <w:r>
        <w:t>Kebebasan dalam ibadah mencakup ruang bagi ekspresi iman dan karunia Roh, tetapi harus tetap diuji oleh Alkitab, kasih, dan prinsip pembangunan jemaat. Struktur liturgi dan perencanaan tidak dimaksudkan membatasi pekerjaan Roh Kudus, melainkan menolong gereja melayani secara bertanggung jawab. Bentuk ibadah juga perlu memperhatikan konteks gereja besar maupun kecil, perkotaan maupun pedesaan, tanpa menganggap ukuran atau lokasi sebagai penentu kualitas rohani. Pada akhirnya, ibadah yang sehat ialah ibadah yang memuliakan Allah, memberitakan Kristus, membangun jemaat, dan mengutus orang percaya untuk hidup sesuai kehendak Tuhan.</w:t>
      </w:r>
    </w:p>
    <w:p>
      <w:r>
        <w:br w:type="page"/>
      </w:r>
    </w:p>
    <w:p>
      <w:pPr>
        <w:pStyle w:val="Heading1"/>
        <w:jc w:val="left"/>
      </w:pPr>
      <w:r>
        <w:t>CATATAN KAKI</w:t>
      </w:r>
    </w:p>
    <w:p>
      <w:pPr>
        <w:spacing w:line="276" w:lineRule="auto"/>
        <w:ind w:left="397" w:hanging="397"/>
        <w:jc w:val="both"/>
      </w:pPr>
      <w:r>
        <w:rPr>
          <w:rFonts w:ascii="Times New Roman" w:hAnsi="Times New Roman"/>
          <w:sz w:val="20"/>
        </w:rPr>
        <w:t>1. Allan Heaton Anderson, An Introduction to Pentecostalism: Global Charismatic Christianity, edisi ke-2 (Cambridge: Cambridge University Press, 2013).</w:t>
      </w:r>
    </w:p>
    <w:p>
      <w:pPr>
        <w:spacing w:line="276" w:lineRule="auto"/>
        <w:ind w:left="397" w:hanging="397"/>
        <w:jc w:val="both"/>
      </w:pPr>
      <w:r>
        <w:rPr>
          <w:rFonts w:ascii="Times New Roman" w:hAnsi="Times New Roman"/>
          <w:sz w:val="20"/>
        </w:rPr>
        <w:t>2. Paul F. Bradshaw, “Early Christian Worship,” Oxford Research Encyclopedia of Religion (Oxford: Oxford University Press, 2015), https://doi.org/10.1093/acrefore/9780199340378.013.2.</w:t>
      </w:r>
    </w:p>
    <w:p>
      <w:pPr>
        <w:spacing w:line="276" w:lineRule="auto"/>
        <w:ind w:left="397" w:hanging="397"/>
        <w:jc w:val="both"/>
      </w:pPr>
      <w:r>
        <w:rPr>
          <w:rFonts w:ascii="Times New Roman" w:hAnsi="Times New Roman"/>
          <w:sz w:val="20"/>
        </w:rPr>
        <w:t>3. Yustinus Martir, First Apology, 65–67. Rujukan ini merupakan kesaksian Kristen abad kedua mengenai praktik pertemuan jemaat; rincian dan variasi lokal perlu tetap diperhatikan.</w:t>
      </w:r>
    </w:p>
    <w:p>
      <w:pPr>
        <w:spacing w:line="276" w:lineRule="auto"/>
        <w:ind w:left="397" w:hanging="397"/>
        <w:jc w:val="both"/>
      </w:pPr>
      <w:r>
        <w:rPr>
          <w:rFonts w:ascii="Times New Roman" w:hAnsi="Times New Roman"/>
          <w:sz w:val="20"/>
        </w:rPr>
        <w:t>4. Allan Heaton Anderson, An Introduction to Pentecostalism: Global Charismatic Christianity, edisi ke-2 (Cambridge: Cambridge University Press, 2013).</w:t>
      </w:r>
    </w:p>
    <w:p>
      <w:pPr>
        <w:spacing w:line="276" w:lineRule="auto"/>
        <w:ind w:left="397" w:hanging="397"/>
        <w:jc w:val="both"/>
      </w:pPr>
      <w:r>
        <w:rPr>
          <w:rFonts w:ascii="Times New Roman" w:hAnsi="Times New Roman"/>
          <w:sz w:val="20"/>
        </w:rPr>
        <w:t>5. Frank C. Senn, Christian Liturgy: Catholic and Evangelical (Minneapolis: Fortress Press, 1997).</w:t>
      </w:r>
    </w:p>
    <w:p>
      <w:pPr>
        <w:spacing w:line="276" w:lineRule="auto"/>
        <w:ind w:left="397" w:hanging="397"/>
        <w:jc w:val="both"/>
      </w:pPr>
      <w:r>
        <w:rPr>
          <w:rFonts w:ascii="Times New Roman" w:hAnsi="Times New Roman"/>
          <w:sz w:val="20"/>
        </w:rPr>
        <w:t>6. James F. White, Introduction to Christian Worship, edisi ke-3, revisi dan perluasan (Nashville: Abingdon Press, 2000). Untuk edisi Indonesia, lihat James F. White, Pengantar Ibadah Kristen: Introduction to Christian Worship (Jakarta: BPK Gunung Mulia, 2005).</w:t>
      </w:r>
    </w:p>
    <w:p>
      <w:pPr>
        <w:spacing w:line="276" w:lineRule="auto"/>
        <w:ind w:left="397" w:hanging="397"/>
        <w:jc w:val="both"/>
      </w:pPr>
      <w:r>
        <w:rPr>
          <w:rFonts w:ascii="Times New Roman" w:hAnsi="Times New Roman"/>
          <w:sz w:val="20"/>
        </w:rPr>
        <w:t>7. Alkitab, Roma 12:1; Yohanes 4:23–24; Efesus 2:18; Ibrani 10:19–25.</w:t>
      </w:r>
    </w:p>
    <w:p>
      <w:pPr>
        <w:spacing w:line="276" w:lineRule="auto"/>
        <w:ind w:left="397" w:hanging="397"/>
        <w:jc w:val="both"/>
      </w:pPr>
      <w:r>
        <w:rPr>
          <w:rFonts w:ascii="Times New Roman" w:hAnsi="Times New Roman"/>
          <w:sz w:val="20"/>
        </w:rPr>
        <w:t>8. Alkitab, Kisah Para Rasul 2:42–47; 1 Korintus 12:12–27.</w:t>
      </w:r>
    </w:p>
    <w:p>
      <w:pPr>
        <w:spacing w:line="276" w:lineRule="auto"/>
        <w:ind w:left="397" w:hanging="397"/>
        <w:jc w:val="both"/>
      </w:pPr>
      <w:r>
        <w:rPr>
          <w:rFonts w:ascii="Times New Roman" w:hAnsi="Times New Roman"/>
          <w:sz w:val="20"/>
        </w:rPr>
        <w:t>9. Alkitab, 1 Korintus 14:26–40; 1 Tesalonika 5:19–22; Galatia 5:13.</w:t>
      </w:r>
    </w:p>
    <w:p>
      <w:pPr>
        <w:spacing w:line="276" w:lineRule="auto"/>
        <w:ind w:left="397" w:hanging="397"/>
        <w:jc w:val="both"/>
      </w:pPr>
      <w:r>
        <w:rPr>
          <w:rFonts w:ascii="Times New Roman" w:hAnsi="Times New Roman"/>
          <w:sz w:val="20"/>
        </w:rPr>
        <w:t>10. Alkitab, Efesus 5:18–20; Kolose 3:16; 2 Timotius 3:16–17.</w:t>
      </w:r>
    </w:p>
    <w:p>
      <w:pPr>
        <w:spacing w:line="276" w:lineRule="auto"/>
        <w:ind w:left="397" w:hanging="397"/>
        <w:jc w:val="both"/>
      </w:pPr>
      <w:r>
        <w:rPr>
          <w:rFonts w:ascii="Times New Roman" w:hAnsi="Times New Roman"/>
          <w:sz w:val="20"/>
        </w:rPr>
        <w:t>11. Alkitab, 2 Korintus 9:6–8; 1 Korintus 11:23–26; Matius 28:18–20.</w:t>
      </w:r>
    </w:p>
    <w:p>
      <w:pPr>
        <w:pStyle w:val="Heading1"/>
        <w:jc w:val="left"/>
      </w:pPr>
      <w:r>
        <w:t>DAFTAR PUSTAKA</w:t>
      </w:r>
    </w:p>
    <w:p>
      <w:pPr>
        <w:spacing w:line="276" w:lineRule="auto"/>
        <w:ind w:left="709" w:hanging="709"/>
        <w:jc w:val="left"/>
      </w:pPr>
      <w:r>
        <w:rPr>
          <w:rFonts w:ascii="Times New Roman" w:hAnsi="Times New Roman"/>
          <w:sz w:val="22"/>
        </w:rPr>
        <w:t>Alkitab. Lembaga Alkitab Indonesia.</w:t>
      </w:r>
    </w:p>
    <w:p>
      <w:pPr>
        <w:spacing w:line="276" w:lineRule="auto"/>
        <w:ind w:left="709" w:hanging="709"/>
        <w:jc w:val="left"/>
      </w:pPr>
      <w:r>
        <w:rPr>
          <w:rFonts w:ascii="Times New Roman" w:hAnsi="Times New Roman"/>
          <w:sz w:val="22"/>
        </w:rPr>
        <w:t>Anderson, Allan Heaton. An Introduction to Pentecostalism: Global Charismatic Christianity. Edisi ke-2. Cambridge: Cambridge University Press, 2013.</w:t>
      </w:r>
    </w:p>
    <w:p>
      <w:pPr>
        <w:spacing w:line="276" w:lineRule="auto"/>
        <w:ind w:left="709" w:hanging="709"/>
        <w:jc w:val="left"/>
      </w:pPr>
      <w:r>
        <w:rPr>
          <w:rFonts w:ascii="Times New Roman" w:hAnsi="Times New Roman"/>
          <w:sz w:val="22"/>
        </w:rPr>
        <w:t>Bradshaw, Paul F. “Early Christian Worship.” Oxford Research Encyclopedia of Religion. Oxford: Oxford University Press, 2015. https://doi.org/10.1093/acrefore/9780199340378.013.2.</w:t>
      </w:r>
    </w:p>
    <w:p>
      <w:pPr>
        <w:spacing w:line="276" w:lineRule="auto"/>
        <w:ind w:left="709" w:hanging="709"/>
        <w:jc w:val="left"/>
      </w:pPr>
      <w:r>
        <w:rPr>
          <w:rFonts w:ascii="Times New Roman" w:hAnsi="Times New Roman"/>
          <w:sz w:val="22"/>
        </w:rPr>
        <w:t>Senn, Frank C. Christian Liturgy: Catholic and Evangelical. Minneapolis: Fortress Press, 1997.</w:t>
      </w:r>
    </w:p>
    <w:p>
      <w:pPr>
        <w:spacing w:line="276" w:lineRule="auto"/>
        <w:ind w:left="709" w:hanging="709"/>
        <w:jc w:val="left"/>
      </w:pPr>
      <w:r>
        <w:rPr>
          <w:rFonts w:ascii="Times New Roman" w:hAnsi="Times New Roman"/>
          <w:sz w:val="22"/>
        </w:rPr>
        <w:t>White, James F. Introduction to Christian Worship. Edisi ke-3, revisi dan perluasan. Nashville: Abingdon Press, 2000.</w:t>
      </w:r>
    </w:p>
    <w:p>
      <w:pPr>
        <w:spacing w:line="276" w:lineRule="auto"/>
        <w:ind w:left="709" w:hanging="709"/>
        <w:jc w:val="left"/>
      </w:pPr>
      <w:r>
        <w:rPr>
          <w:rFonts w:ascii="Times New Roman" w:hAnsi="Times New Roman"/>
          <w:sz w:val="22"/>
        </w:rPr>
        <w:t>White, James F. Pengantar Ibadah Kristen: Introduction to Christian Worship. Jakarta: BPK Gunung Mulia, 2005.</w:t>
      </w:r>
    </w:p>
    <w:p>
      <w:pPr>
        <w:spacing w:line="276" w:lineRule="auto"/>
        <w:ind w:left="709" w:hanging="709"/>
        <w:jc w:val="left"/>
      </w:pPr>
      <w:r>
        <w:rPr>
          <w:rFonts w:ascii="Times New Roman" w:hAnsi="Times New Roman"/>
          <w:sz w:val="22"/>
        </w:rPr>
        <w:t>Yustinus Martir. First Apology. Bagian 65–67.</w:t>
      </w:r>
    </w:p>
    <w:p>
      <w:pPr>
        <w:spacing w:before="240"/>
        <w:jc w:val="both"/>
      </w:pPr>
      <w:r>
        <w:rPr>
          <w:b/>
        </w:rPr>
        <w:t xml:space="preserve">Catatan penyuntingan akademis: </w:t>
      </w:r>
      <w:r>
        <w:t>Naskah ini telah diperluas dengan landasan biblika, teologis, historis, dogmatis, dan kontekstual. Sebelum dikumpulkan, cocokkan kembali kutipan buku dengan eksemplar yang digunakan dosen atau perpustakaan, terutama nomor halaman untuk kutipan langsung. Naskah ini menggunakan parafrasa, bukan kutipan langsung dari buku-buku tersebut.</w:t>
      </w:r>
    </w:p>
    <w:sectPr w:rsidR="00FC693F" w:rsidRPr="0006063C" w:rsidSect="00034616">
      <w:headerReference w:type="default" r:id="rId9"/>
      <w:footerReference w:type="default" r:id="rId10"/>
      <w:pgSz w:w="12240" w:h="15840"/>
      <w:pgMar w:top="1701" w:right="1701" w:bottom="1701" w:left="22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i/>
        <w:sz w:val="18"/>
      </w:rPr>
      <w:t>BAB II — STRUKTUR LITURGI DAN PERENCANAAN PERIBADATAN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after="0"/>
      <w:jc w:val="both"/>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Times New Roman" w:hAnsi="Times New Roman" w:eastAsia="Times New Roman"/>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Times New Roman" w:hAnsi="Times New Roman" w:eastAsia="Times New Roman"/>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Times New Roman" w:hAnsi="Times New Roman" w:eastAsia="Times New Roman"/>
      <w:b/>
      <w:bCs/>
      <w:color w:val="4F81BD" w:themeColor="accent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